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AA747" w14:textId="77777777" w:rsidR="00711FEB" w:rsidRPr="00711FEB" w:rsidRDefault="00711FEB" w:rsidP="00711FEB">
      <w:pPr>
        <w:spacing w:after="0" w:line="240" w:lineRule="auto"/>
        <w:ind w:firstLine="720"/>
        <w:rPr>
          <w:b/>
          <w:sz w:val="24"/>
          <w:szCs w:val="24"/>
        </w:rPr>
      </w:pPr>
      <w:r w:rsidRPr="00711FEB">
        <w:rPr>
          <w:rFonts w:eastAsia="Times New Roman"/>
          <w:b/>
          <w:noProof/>
          <w:sz w:val="24"/>
          <w:szCs w:val="24"/>
        </w:rPr>
        <w:drawing>
          <wp:anchor distT="0" distB="0" distL="114300" distR="114300" simplePos="0" relativeHeight="251660288" behindDoc="0" locked="0" layoutInCell="1" allowOverlap="1" wp14:anchorId="70FC7B9B" wp14:editId="211EEADD">
            <wp:simplePos x="0" y="0"/>
            <wp:positionH relativeFrom="column">
              <wp:posOffset>33020</wp:posOffset>
            </wp:positionH>
            <wp:positionV relativeFrom="paragraph">
              <wp:posOffset>-283845</wp:posOffset>
            </wp:positionV>
            <wp:extent cx="788035" cy="7880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SF Logo copy.email templa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8035" cy="788035"/>
                    </a:xfrm>
                    <a:prstGeom prst="rect">
                      <a:avLst/>
                    </a:prstGeom>
                  </pic:spPr>
                </pic:pic>
              </a:graphicData>
            </a:graphic>
            <wp14:sizeRelH relativeFrom="page">
              <wp14:pctWidth>0</wp14:pctWidth>
            </wp14:sizeRelH>
            <wp14:sizeRelV relativeFrom="page">
              <wp14:pctHeight>0</wp14:pctHeight>
            </wp14:sizeRelV>
          </wp:anchor>
        </w:drawing>
      </w:r>
      <w:r w:rsidR="00C47779" w:rsidRPr="00711FEB">
        <w:rPr>
          <w:b/>
          <w:sz w:val="24"/>
          <w:szCs w:val="24"/>
        </w:rPr>
        <w:t xml:space="preserve">The Youth Enfranchisement Act campaign </w:t>
      </w:r>
    </w:p>
    <w:p w14:paraId="39501A19" w14:textId="77777777" w:rsidR="00C47779" w:rsidRPr="00C47779" w:rsidRDefault="00711FEB" w:rsidP="00711FEB">
      <w:pPr>
        <w:spacing w:after="0" w:line="240" w:lineRule="auto"/>
        <w:ind w:firstLine="720"/>
        <w:rPr>
          <w:b/>
        </w:rPr>
      </w:pPr>
      <w:r w:rsidRPr="00711FEB">
        <w:rPr>
          <w:b/>
          <w:sz w:val="24"/>
          <w:szCs w:val="24"/>
        </w:rPr>
        <w:t>G</w:t>
      </w:r>
      <w:r w:rsidR="00C47779" w:rsidRPr="00711FEB">
        <w:rPr>
          <w:b/>
          <w:sz w:val="24"/>
          <w:szCs w:val="24"/>
        </w:rPr>
        <w:t>iving 16 and 17 year old</w:t>
      </w:r>
      <w:r w:rsidRPr="00711FEB">
        <w:rPr>
          <w:b/>
          <w:sz w:val="24"/>
          <w:szCs w:val="24"/>
        </w:rPr>
        <w:t xml:space="preserve"> </w:t>
      </w:r>
      <w:proofErr w:type="spellStart"/>
      <w:r w:rsidRPr="00711FEB">
        <w:rPr>
          <w:b/>
          <w:sz w:val="24"/>
          <w:szCs w:val="24"/>
        </w:rPr>
        <w:t>Mountainville</w:t>
      </w:r>
      <w:proofErr w:type="spellEnd"/>
      <w:r w:rsidRPr="00711FEB">
        <w:rPr>
          <w:b/>
          <w:sz w:val="24"/>
          <w:szCs w:val="24"/>
        </w:rPr>
        <w:t xml:space="preserve"> citizens</w:t>
      </w:r>
      <w:r w:rsidR="00C47779" w:rsidRPr="00711FEB">
        <w:rPr>
          <w:b/>
          <w:sz w:val="24"/>
          <w:szCs w:val="24"/>
        </w:rPr>
        <w:t xml:space="preserve"> the right to vote</w:t>
      </w:r>
      <w:r w:rsidR="00C47779" w:rsidRPr="00C47779">
        <w:rPr>
          <w:rStyle w:val="FootnoteReference"/>
          <w:b/>
        </w:rPr>
        <w:footnoteReference w:id="1"/>
      </w:r>
    </w:p>
    <w:p w14:paraId="5105F99D" w14:textId="77777777" w:rsidR="00FC0B65" w:rsidRDefault="00FC0B65"/>
    <w:p w14:paraId="6D45CF47" w14:textId="49E28020" w:rsidR="000710BB" w:rsidRDefault="0087080E" w:rsidP="00D858A1">
      <w:pPr>
        <w:jc w:val="center"/>
        <w:rPr>
          <w:b/>
        </w:rPr>
      </w:pPr>
      <w:r>
        <w:rPr>
          <w:b/>
        </w:rPr>
        <w:t>Case Competition –</w:t>
      </w:r>
      <w:r w:rsidR="00BA2268">
        <w:rPr>
          <w:b/>
        </w:rPr>
        <w:t xml:space="preserve"> Curve Ball</w:t>
      </w:r>
      <w:bookmarkStart w:id="0" w:name="_GoBack"/>
      <w:bookmarkEnd w:id="0"/>
    </w:p>
    <w:p w14:paraId="2A2DCF6E" w14:textId="77777777" w:rsidR="000710BB" w:rsidRDefault="00E078A5">
      <w:pPr>
        <w:rPr>
          <w:b/>
        </w:rPr>
      </w:pPr>
      <w:r>
        <w:rPr>
          <w:b/>
        </w:rPr>
        <w:t>New Data and Media Options</w:t>
      </w:r>
    </w:p>
    <w:p w14:paraId="3A7B7385" w14:textId="6824685E" w:rsidR="000710BB" w:rsidRPr="00C8137D" w:rsidRDefault="000710BB" w:rsidP="00183C57">
      <w:r>
        <w:rPr>
          <w:b/>
        </w:rPr>
        <w:tab/>
      </w:r>
      <w:r>
        <w:t>A few weeks had passed since Ricardo completed his initial media recommendations for the “Yes on YEA” campaign. He was scheduled to me</w:t>
      </w:r>
      <w:r w:rsidR="006A32D1">
        <w:t xml:space="preserve">et with the client in mid-June and was continuing to give thoughtful consideration to every </w:t>
      </w:r>
      <w:r w:rsidR="006A32D1" w:rsidRPr="00BB4050">
        <w:t xml:space="preserve">targeted media strategy that might help the campaign. During this time, Ricardo was approached by several media vendors </w:t>
      </w:r>
      <w:r w:rsidR="006A32D1" w:rsidRPr="00C8137D">
        <w:t xml:space="preserve">selling a variety of products that he had not originally considered. </w:t>
      </w:r>
      <w:r w:rsidR="005E4608" w:rsidRPr="00C8137D">
        <w:t xml:space="preserve">One in particular stood out as a potential </w:t>
      </w:r>
      <w:r w:rsidR="00C8137D" w:rsidRPr="00C8137D">
        <w:t>partner</w:t>
      </w:r>
      <w:r w:rsidR="005E4608" w:rsidRPr="00C8137D">
        <w:t xml:space="preserve"> worth including in the </w:t>
      </w:r>
      <w:r w:rsidR="003478A6" w:rsidRPr="00C8137D">
        <w:t xml:space="preserve">existing </w:t>
      </w:r>
      <w:r w:rsidR="005E4608" w:rsidRPr="00C8137D">
        <w:t xml:space="preserve">media budget. </w:t>
      </w:r>
    </w:p>
    <w:p w14:paraId="2D0B96E0" w14:textId="6C1F6D0D" w:rsidR="00E078A5" w:rsidRPr="00C8137D" w:rsidRDefault="00D95DF2" w:rsidP="00183C57">
      <w:r w:rsidRPr="00C8137D">
        <w:tab/>
        <w:t xml:space="preserve">i360, a leading data and technology resource for the free-market political and advocacy community, provides a database of </w:t>
      </w:r>
      <w:r w:rsidR="00C8137D" w:rsidRPr="00C8137D">
        <w:t xml:space="preserve">over </w:t>
      </w:r>
      <w:r w:rsidRPr="00C8137D">
        <w:t xml:space="preserve">190 million active voters and </w:t>
      </w:r>
      <w:r w:rsidR="00C8137D" w:rsidRPr="00C8137D">
        <w:t xml:space="preserve">over </w:t>
      </w:r>
      <w:r w:rsidRPr="00C8137D">
        <w:t xml:space="preserve">250 million US consumers. </w:t>
      </w:r>
      <w:proofErr w:type="gramStart"/>
      <w:r w:rsidRPr="00C8137D">
        <w:t>i360</w:t>
      </w:r>
      <w:proofErr w:type="gramEnd"/>
      <w:r w:rsidRPr="00C8137D">
        <w:t xml:space="preserve"> </w:t>
      </w:r>
      <w:r w:rsidR="00E078A5" w:rsidRPr="00C8137D">
        <w:t>offer</w:t>
      </w:r>
      <w:r w:rsidR="002C75CC" w:rsidRPr="00C8137D">
        <w:t>ed Ricardo</w:t>
      </w:r>
      <w:r w:rsidR="00D858A1" w:rsidRPr="00C8137D">
        <w:t xml:space="preserve"> a couple of </w:t>
      </w:r>
      <w:r w:rsidR="004577AE" w:rsidRPr="00C8137D">
        <w:t xml:space="preserve">targeting </w:t>
      </w:r>
      <w:r w:rsidR="00D858A1" w:rsidRPr="00C8137D">
        <w:t xml:space="preserve">options </w:t>
      </w:r>
      <w:r w:rsidR="004577AE" w:rsidRPr="00C8137D">
        <w:t>that would also help</w:t>
      </w:r>
      <w:r w:rsidR="00D858A1" w:rsidRPr="00C8137D">
        <w:t xml:space="preserve"> minimiz</w:t>
      </w:r>
      <w:r w:rsidR="004577AE" w:rsidRPr="00C8137D">
        <w:t>e</w:t>
      </w:r>
      <w:r w:rsidR="00D858A1" w:rsidRPr="00C8137D">
        <w:t xml:space="preserve"> wasted impressions.</w:t>
      </w:r>
    </w:p>
    <w:p w14:paraId="21F12608" w14:textId="0CA78197" w:rsidR="00BB4050" w:rsidRPr="004577AE" w:rsidRDefault="00BB4050" w:rsidP="00C8137D">
      <w:pPr>
        <w:ind w:firstLine="720"/>
      </w:pPr>
      <w:proofErr w:type="gramStart"/>
      <w:r w:rsidRPr="00C8137D">
        <w:t>i360</w:t>
      </w:r>
      <w:proofErr w:type="gramEnd"/>
      <w:r w:rsidRPr="00C8137D">
        <w:t xml:space="preserve"> partners with DirecTV and Dish Network to allow participating campaigns to target their TV advertisements at the household level using </w:t>
      </w:r>
      <w:r w:rsidR="004577AE" w:rsidRPr="00C8137D">
        <w:t>their</w:t>
      </w:r>
      <w:r w:rsidRPr="00C8137D">
        <w:t xml:space="preserve"> proprietary data. This targeting capability is known as add</w:t>
      </w:r>
      <w:r w:rsidR="004577AE" w:rsidRPr="00C8137D">
        <w:t>ressable advertising. Simply</w:t>
      </w:r>
      <w:r w:rsidRPr="00C8137D">
        <w:t xml:space="preserve">, addressable advertising </w:t>
      </w:r>
      <w:r w:rsidR="004577AE" w:rsidRPr="00C8137D">
        <w:t>adds a layer of</w:t>
      </w:r>
      <w:r w:rsidRPr="00C8137D">
        <w:t xml:space="preserve"> precision to TV targeting – allowing advertisers to identify and</w:t>
      </w:r>
      <w:r w:rsidR="004577AE" w:rsidRPr="00C8137D">
        <w:t xml:space="preserve"> deliver television ads</w:t>
      </w:r>
      <w:r w:rsidRPr="00C8137D">
        <w:t xml:space="preserve"> </w:t>
      </w:r>
      <w:r w:rsidR="004577AE" w:rsidRPr="00C8137D">
        <w:t>only</w:t>
      </w:r>
      <w:r w:rsidRPr="00C8137D">
        <w:t xml:space="preserve"> </w:t>
      </w:r>
      <w:r w:rsidR="004577AE" w:rsidRPr="00C8137D">
        <w:t xml:space="preserve">to </w:t>
      </w:r>
      <w:r w:rsidRPr="00C8137D">
        <w:t>their target audience</w:t>
      </w:r>
      <w:r w:rsidR="004577AE" w:rsidRPr="00C8137D">
        <w:t xml:space="preserve"> households, thus</w:t>
      </w:r>
      <w:r w:rsidRPr="00C8137D">
        <w:t xml:space="preserve"> </w:t>
      </w:r>
      <w:r w:rsidR="004577AE" w:rsidRPr="00C8137D">
        <w:t>decreasing</w:t>
      </w:r>
      <w:r w:rsidRPr="00C8137D">
        <w:t xml:space="preserve"> waste. Perhaps the biggest advantage of addressable TV is that </w:t>
      </w:r>
      <w:r w:rsidR="00C8137D" w:rsidRPr="00C8137D">
        <w:t xml:space="preserve">it </w:t>
      </w:r>
      <w:r w:rsidRPr="00C8137D">
        <w:t>is</w:t>
      </w:r>
      <w:r w:rsidRPr="004577AE">
        <w:t xml:space="preserve"> network and program agnostic – allowing advertisers to targe</w:t>
      </w:r>
      <w:r w:rsidR="004577AE" w:rsidRPr="004577AE">
        <w:t xml:space="preserve">t households, regardless of when or what </w:t>
      </w:r>
      <w:r w:rsidRPr="004577AE">
        <w:t xml:space="preserve">they watch. </w:t>
      </w:r>
    </w:p>
    <w:p w14:paraId="3B4CBEB9" w14:textId="3E86C341" w:rsidR="00BB4050" w:rsidRPr="00BB4050" w:rsidRDefault="00C8137D" w:rsidP="00C8137D">
      <w:pPr>
        <w:ind w:firstLine="720"/>
      </w:pPr>
      <w:r>
        <w:t>Ricardo was excited to see this technological advancement</w:t>
      </w:r>
      <w:r w:rsidR="00BB4050" w:rsidRPr="004577AE">
        <w:t>,</w:t>
      </w:r>
      <w:r>
        <w:t xml:space="preserve"> but he was also weary that</w:t>
      </w:r>
      <w:r w:rsidR="00BB4050" w:rsidRPr="004577AE">
        <w:t xml:space="preserve"> addressable advertising does have its limitations. </w:t>
      </w:r>
      <w:r>
        <w:t>After asking several questions, Ricardo learned that</w:t>
      </w:r>
      <w:r w:rsidR="00BB4050" w:rsidRPr="004577AE">
        <w:t xml:space="preserve"> </w:t>
      </w:r>
      <w:r>
        <w:t>addressable only works for</w:t>
      </w:r>
      <w:r w:rsidR="00BB4050" w:rsidRPr="004577AE">
        <w:t xml:space="preserve"> targeting DirecTV and Dish subscribers who also have a DVR box. </w:t>
      </w:r>
      <w:r>
        <w:t>A</w:t>
      </w:r>
      <w:r w:rsidR="00BB4050" w:rsidRPr="004577AE">
        <w:t xml:space="preserve">ddressable </w:t>
      </w:r>
      <w:r>
        <w:t xml:space="preserve">also </w:t>
      </w:r>
      <w:r w:rsidR="00BB4050" w:rsidRPr="004577AE">
        <w:t xml:space="preserve">faces the same challenge of broadcast and cable </w:t>
      </w:r>
      <w:r>
        <w:t xml:space="preserve">television </w:t>
      </w:r>
      <w:r w:rsidR="00BB4050" w:rsidRPr="004577AE">
        <w:t>in that there is no guarantee that the spot will actually be watched by the intended audience.</w:t>
      </w:r>
    </w:p>
    <w:p w14:paraId="31C51605" w14:textId="61DEA305" w:rsidR="00E078A5" w:rsidRDefault="00C8137D" w:rsidP="00C8137D">
      <w:pPr>
        <w:ind w:firstLine="720"/>
        <w:rPr>
          <w:rFonts w:cs="Times New Roman"/>
          <w:bCs/>
        </w:rPr>
      </w:pPr>
      <w:r>
        <w:rPr>
          <w:rFonts w:cs="Times New Roman"/>
          <w:bCs/>
        </w:rPr>
        <w:t>Ricardo made some notes that a</w:t>
      </w:r>
      <w:r w:rsidR="00E078A5" w:rsidRPr="00BB4050">
        <w:rPr>
          <w:rFonts w:cs="Times New Roman"/>
          <w:bCs/>
        </w:rPr>
        <w:t xml:space="preserve">ddressable advertising is sold on a CPM </w:t>
      </w:r>
      <w:r w:rsidR="000B4887" w:rsidRPr="00BB4050">
        <w:rPr>
          <w:rFonts w:cs="Times New Roman"/>
          <w:bCs/>
        </w:rPr>
        <w:t>basis. The CPM for each segment</w:t>
      </w:r>
      <w:r w:rsidR="00E078A5" w:rsidRPr="00BB4050">
        <w:rPr>
          <w:rFonts w:cs="Times New Roman"/>
          <w:bCs/>
        </w:rPr>
        <w:t xml:space="preserve"> is $125. There are limited segments available in </w:t>
      </w:r>
      <w:proofErr w:type="spellStart"/>
      <w:r w:rsidR="00E078A5" w:rsidRPr="00BB4050">
        <w:rPr>
          <w:rFonts w:cs="Times New Roman"/>
          <w:bCs/>
        </w:rPr>
        <w:t>Mountainville</w:t>
      </w:r>
      <w:proofErr w:type="spellEnd"/>
      <w:r w:rsidR="00E078A5" w:rsidRPr="00BB4050">
        <w:rPr>
          <w:rFonts w:cs="Times New Roman"/>
          <w:bCs/>
        </w:rPr>
        <w:t>, but</w:t>
      </w:r>
      <w:r w:rsidR="009834F6" w:rsidRPr="00BB4050">
        <w:rPr>
          <w:rFonts w:cs="Times New Roman"/>
          <w:bCs/>
        </w:rPr>
        <w:t xml:space="preserve"> Ricardo does have a few to consi</w:t>
      </w:r>
      <w:r w:rsidR="009834F6">
        <w:rPr>
          <w:rFonts w:cs="Times New Roman"/>
          <w:bCs/>
        </w:rPr>
        <w:t>der</w:t>
      </w:r>
      <w:r w:rsidR="000F0E8B">
        <w:rPr>
          <w:rFonts w:cs="Times New Roman"/>
          <w:bCs/>
        </w:rPr>
        <w:t xml:space="preserve"> that are listed in the chart on the following page.</w:t>
      </w:r>
    </w:p>
    <w:p w14:paraId="70EA8C43" w14:textId="77777777" w:rsidR="000F0E8B" w:rsidRDefault="000F0E8B" w:rsidP="009834F6">
      <w:pPr>
        <w:ind w:firstLine="720"/>
        <w:rPr>
          <w:rFonts w:cs="Times New Roman"/>
          <w:bCs/>
        </w:rPr>
      </w:pPr>
    </w:p>
    <w:p w14:paraId="7113ED5C" w14:textId="77777777" w:rsidR="000F0E8B" w:rsidRDefault="000F0E8B" w:rsidP="009834F6">
      <w:pPr>
        <w:ind w:firstLine="720"/>
        <w:rPr>
          <w:rFonts w:cs="Times New Roman"/>
          <w:bCs/>
        </w:rPr>
      </w:pPr>
    </w:p>
    <w:p w14:paraId="2485C88D" w14:textId="77777777" w:rsidR="000F0E8B" w:rsidRDefault="000F0E8B" w:rsidP="009834F6">
      <w:pPr>
        <w:ind w:firstLine="720"/>
        <w:rPr>
          <w:rFonts w:cs="Times New Roman"/>
          <w:bCs/>
        </w:rPr>
      </w:pPr>
    </w:p>
    <w:p w14:paraId="3B6B92E1" w14:textId="77777777" w:rsidR="000F0E8B" w:rsidRPr="00E078A5" w:rsidRDefault="000F0E8B" w:rsidP="009834F6">
      <w:pPr>
        <w:ind w:firstLine="720"/>
        <w:rPr>
          <w:rFonts w:cs="Times New Roman"/>
          <w:bCs/>
        </w:rPr>
      </w:pPr>
    </w:p>
    <w:tbl>
      <w:tblPr>
        <w:tblW w:w="5490" w:type="dxa"/>
        <w:tblInd w:w="2160" w:type="dxa"/>
        <w:tblLook w:val="04A0" w:firstRow="1" w:lastRow="0" w:firstColumn="1" w:lastColumn="0" w:noHBand="0" w:noVBand="1"/>
      </w:tblPr>
      <w:tblGrid>
        <w:gridCol w:w="3420"/>
        <w:gridCol w:w="2070"/>
      </w:tblGrid>
      <w:tr w:rsidR="00E078A5" w:rsidRPr="00E078A5" w14:paraId="74783F1D" w14:textId="77777777" w:rsidTr="000F0E8B">
        <w:trPr>
          <w:trHeight w:hRule="exact" w:val="288"/>
        </w:trPr>
        <w:tc>
          <w:tcPr>
            <w:tcW w:w="3420" w:type="dxa"/>
            <w:tcBorders>
              <w:top w:val="nil"/>
              <w:left w:val="nil"/>
              <w:bottom w:val="nil"/>
              <w:right w:val="nil"/>
            </w:tcBorders>
            <w:shd w:val="clear" w:color="000000" w:fill="BFBFBF"/>
            <w:noWrap/>
            <w:vAlign w:val="bottom"/>
            <w:hideMark/>
          </w:tcPr>
          <w:p w14:paraId="28EE8A6C" w14:textId="77777777" w:rsidR="00E078A5" w:rsidRPr="00E078A5" w:rsidRDefault="00E078A5" w:rsidP="00DB577D">
            <w:pPr>
              <w:jc w:val="center"/>
              <w:rPr>
                <w:rFonts w:eastAsia="Times New Roman" w:cs="Times New Roman"/>
                <w:b/>
                <w:bCs/>
                <w:color w:val="000000"/>
              </w:rPr>
            </w:pPr>
            <w:r w:rsidRPr="00E078A5">
              <w:rPr>
                <w:rFonts w:eastAsia="Times New Roman" w:cs="Times New Roman"/>
                <w:b/>
                <w:bCs/>
                <w:color w:val="000000"/>
              </w:rPr>
              <w:t>Segment</w:t>
            </w:r>
          </w:p>
        </w:tc>
        <w:tc>
          <w:tcPr>
            <w:tcW w:w="2070" w:type="dxa"/>
            <w:tcBorders>
              <w:top w:val="nil"/>
              <w:left w:val="nil"/>
              <w:bottom w:val="nil"/>
              <w:right w:val="nil"/>
            </w:tcBorders>
            <w:shd w:val="clear" w:color="000000" w:fill="BFBFBF"/>
            <w:noWrap/>
            <w:vAlign w:val="bottom"/>
            <w:hideMark/>
          </w:tcPr>
          <w:p w14:paraId="62410C0D"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Addressable HH</w:t>
            </w:r>
          </w:p>
        </w:tc>
      </w:tr>
      <w:tr w:rsidR="00E078A5" w:rsidRPr="00E078A5" w14:paraId="0BA3B352" w14:textId="77777777" w:rsidTr="000F0E8B">
        <w:trPr>
          <w:trHeight w:hRule="exact" w:val="288"/>
        </w:trPr>
        <w:tc>
          <w:tcPr>
            <w:tcW w:w="3420" w:type="dxa"/>
            <w:tcBorders>
              <w:top w:val="nil"/>
              <w:left w:val="nil"/>
              <w:bottom w:val="nil"/>
              <w:right w:val="nil"/>
            </w:tcBorders>
            <w:shd w:val="clear" w:color="auto" w:fill="auto"/>
            <w:noWrap/>
            <w:vAlign w:val="bottom"/>
            <w:hideMark/>
          </w:tcPr>
          <w:p w14:paraId="441A270F"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All Registered Voters</w:t>
            </w:r>
          </w:p>
        </w:tc>
        <w:tc>
          <w:tcPr>
            <w:tcW w:w="2070" w:type="dxa"/>
            <w:tcBorders>
              <w:top w:val="nil"/>
              <w:left w:val="nil"/>
              <w:bottom w:val="nil"/>
              <w:right w:val="nil"/>
            </w:tcBorders>
            <w:shd w:val="clear" w:color="auto" w:fill="auto"/>
            <w:noWrap/>
            <w:vAlign w:val="bottom"/>
            <w:hideMark/>
          </w:tcPr>
          <w:p w14:paraId="3A59371A"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178,272 </w:t>
            </w:r>
          </w:p>
        </w:tc>
      </w:tr>
      <w:tr w:rsidR="00E078A5" w:rsidRPr="00E078A5" w14:paraId="3D5AC42B" w14:textId="77777777" w:rsidTr="000F0E8B">
        <w:trPr>
          <w:trHeight w:hRule="exact" w:val="288"/>
        </w:trPr>
        <w:tc>
          <w:tcPr>
            <w:tcW w:w="3420" w:type="dxa"/>
            <w:tcBorders>
              <w:top w:val="nil"/>
              <w:left w:val="nil"/>
              <w:bottom w:val="nil"/>
              <w:right w:val="nil"/>
            </w:tcBorders>
            <w:shd w:val="clear" w:color="000000" w:fill="F2F2F2"/>
            <w:noWrap/>
            <w:vAlign w:val="bottom"/>
            <w:hideMark/>
          </w:tcPr>
          <w:p w14:paraId="22230039"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Republican Voters</w:t>
            </w:r>
          </w:p>
        </w:tc>
        <w:tc>
          <w:tcPr>
            <w:tcW w:w="2070" w:type="dxa"/>
            <w:tcBorders>
              <w:top w:val="nil"/>
              <w:left w:val="nil"/>
              <w:bottom w:val="nil"/>
              <w:right w:val="nil"/>
            </w:tcBorders>
            <w:shd w:val="clear" w:color="000000" w:fill="F2F2F2"/>
            <w:noWrap/>
            <w:vAlign w:val="bottom"/>
            <w:hideMark/>
          </w:tcPr>
          <w:p w14:paraId="33CC3D5C"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92,404 </w:t>
            </w:r>
          </w:p>
        </w:tc>
      </w:tr>
      <w:tr w:rsidR="00E078A5" w:rsidRPr="00E078A5" w14:paraId="138EBB03" w14:textId="77777777" w:rsidTr="000F0E8B">
        <w:trPr>
          <w:trHeight w:hRule="exact" w:val="288"/>
        </w:trPr>
        <w:tc>
          <w:tcPr>
            <w:tcW w:w="3420" w:type="dxa"/>
            <w:tcBorders>
              <w:top w:val="nil"/>
              <w:left w:val="nil"/>
              <w:bottom w:val="nil"/>
              <w:right w:val="nil"/>
            </w:tcBorders>
            <w:shd w:val="clear" w:color="auto" w:fill="auto"/>
            <w:noWrap/>
            <w:vAlign w:val="bottom"/>
            <w:hideMark/>
          </w:tcPr>
          <w:p w14:paraId="5E2485FA"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Swing Voters</w:t>
            </w:r>
          </w:p>
        </w:tc>
        <w:tc>
          <w:tcPr>
            <w:tcW w:w="2070" w:type="dxa"/>
            <w:tcBorders>
              <w:top w:val="nil"/>
              <w:left w:val="nil"/>
              <w:bottom w:val="nil"/>
              <w:right w:val="nil"/>
            </w:tcBorders>
            <w:shd w:val="clear" w:color="auto" w:fill="auto"/>
            <w:noWrap/>
            <w:vAlign w:val="bottom"/>
            <w:hideMark/>
          </w:tcPr>
          <w:p w14:paraId="3A34B84A"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69,084 </w:t>
            </w:r>
          </w:p>
        </w:tc>
      </w:tr>
      <w:tr w:rsidR="00E078A5" w:rsidRPr="00E078A5" w14:paraId="05B55A1C" w14:textId="77777777" w:rsidTr="000F0E8B">
        <w:trPr>
          <w:trHeight w:hRule="exact" w:val="288"/>
        </w:trPr>
        <w:tc>
          <w:tcPr>
            <w:tcW w:w="3420" w:type="dxa"/>
            <w:tcBorders>
              <w:top w:val="nil"/>
              <w:left w:val="nil"/>
              <w:bottom w:val="nil"/>
              <w:right w:val="nil"/>
            </w:tcBorders>
            <w:shd w:val="clear" w:color="000000" w:fill="F2F2F2"/>
            <w:noWrap/>
            <w:vAlign w:val="bottom"/>
            <w:hideMark/>
          </w:tcPr>
          <w:p w14:paraId="65A92A8B"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Republican Primary Voters</w:t>
            </w:r>
          </w:p>
        </w:tc>
        <w:tc>
          <w:tcPr>
            <w:tcW w:w="2070" w:type="dxa"/>
            <w:tcBorders>
              <w:top w:val="nil"/>
              <w:left w:val="nil"/>
              <w:bottom w:val="nil"/>
              <w:right w:val="nil"/>
            </w:tcBorders>
            <w:shd w:val="clear" w:color="000000" w:fill="F2F2F2"/>
            <w:noWrap/>
            <w:vAlign w:val="bottom"/>
            <w:hideMark/>
          </w:tcPr>
          <w:p w14:paraId="25D20923"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32,285 </w:t>
            </w:r>
          </w:p>
        </w:tc>
      </w:tr>
      <w:tr w:rsidR="00E078A5" w:rsidRPr="00E078A5" w14:paraId="5022960C" w14:textId="77777777" w:rsidTr="000F0E8B">
        <w:trPr>
          <w:trHeight w:hRule="exact" w:val="288"/>
        </w:trPr>
        <w:tc>
          <w:tcPr>
            <w:tcW w:w="3420" w:type="dxa"/>
            <w:tcBorders>
              <w:top w:val="nil"/>
              <w:left w:val="nil"/>
              <w:bottom w:val="nil"/>
              <w:right w:val="nil"/>
            </w:tcBorders>
            <w:shd w:val="clear" w:color="auto" w:fill="auto"/>
            <w:noWrap/>
            <w:vAlign w:val="bottom"/>
            <w:hideMark/>
          </w:tcPr>
          <w:p w14:paraId="194EA836"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2016 Likely General Voters</w:t>
            </w:r>
          </w:p>
        </w:tc>
        <w:tc>
          <w:tcPr>
            <w:tcW w:w="2070" w:type="dxa"/>
            <w:tcBorders>
              <w:top w:val="nil"/>
              <w:left w:val="nil"/>
              <w:bottom w:val="nil"/>
              <w:right w:val="nil"/>
            </w:tcBorders>
            <w:shd w:val="clear" w:color="auto" w:fill="auto"/>
            <w:noWrap/>
            <w:vAlign w:val="bottom"/>
            <w:hideMark/>
          </w:tcPr>
          <w:p w14:paraId="7997D064"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124,391 </w:t>
            </w:r>
          </w:p>
        </w:tc>
      </w:tr>
      <w:tr w:rsidR="00E078A5" w:rsidRPr="00E078A5" w14:paraId="1824D7CB" w14:textId="77777777" w:rsidTr="000F0E8B">
        <w:trPr>
          <w:trHeight w:hRule="exact" w:val="288"/>
        </w:trPr>
        <w:tc>
          <w:tcPr>
            <w:tcW w:w="3420" w:type="dxa"/>
            <w:tcBorders>
              <w:top w:val="nil"/>
              <w:left w:val="nil"/>
              <w:bottom w:val="nil"/>
              <w:right w:val="nil"/>
            </w:tcBorders>
            <w:shd w:val="clear" w:color="000000" w:fill="F2F2F2"/>
            <w:noWrap/>
            <w:vAlign w:val="bottom"/>
            <w:hideMark/>
          </w:tcPr>
          <w:p w14:paraId="59E31ECD"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Voting Republicans</w:t>
            </w:r>
          </w:p>
        </w:tc>
        <w:tc>
          <w:tcPr>
            <w:tcW w:w="2070" w:type="dxa"/>
            <w:tcBorders>
              <w:top w:val="nil"/>
              <w:left w:val="nil"/>
              <w:bottom w:val="nil"/>
              <w:right w:val="nil"/>
            </w:tcBorders>
            <w:shd w:val="clear" w:color="000000" w:fill="F2F2F2"/>
            <w:noWrap/>
            <w:vAlign w:val="bottom"/>
            <w:hideMark/>
          </w:tcPr>
          <w:p w14:paraId="79219382"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71,773 </w:t>
            </w:r>
          </w:p>
        </w:tc>
      </w:tr>
      <w:tr w:rsidR="00E078A5" w:rsidRPr="00E078A5" w14:paraId="026784DA" w14:textId="77777777" w:rsidTr="000F0E8B">
        <w:trPr>
          <w:trHeight w:hRule="exact" w:val="288"/>
        </w:trPr>
        <w:tc>
          <w:tcPr>
            <w:tcW w:w="3420" w:type="dxa"/>
            <w:tcBorders>
              <w:top w:val="nil"/>
              <w:left w:val="nil"/>
              <w:bottom w:val="nil"/>
              <w:right w:val="nil"/>
            </w:tcBorders>
            <w:shd w:val="clear" w:color="auto" w:fill="auto"/>
            <w:noWrap/>
            <w:vAlign w:val="bottom"/>
            <w:hideMark/>
          </w:tcPr>
          <w:p w14:paraId="58773A12"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Voting Swing Voters</w:t>
            </w:r>
          </w:p>
        </w:tc>
        <w:tc>
          <w:tcPr>
            <w:tcW w:w="2070" w:type="dxa"/>
            <w:tcBorders>
              <w:top w:val="nil"/>
              <w:left w:val="nil"/>
              <w:bottom w:val="nil"/>
              <w:right w:val="nil"/>
            </w:tcBorders>
            <w:shd w:val="clear" w:color="auto" w:fill="auto"/>
            <w:noWrap/>
            <w:vAlign w:val="bottom"/>
            <w:hideMark/>
          </w:tcPr>
          <w:p w14:paraId="70FBAEA3"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40,662 </w:t>
            </w:r>
          </w:p>
        </w:tc>
      </w:tr>
      <w:tr w:rsidR="00E078A5" w:rsidRPr="00E078A5" w14:paraId="3BB6B2DB" w14:textId="77777777" w:rsidTr="000F0E8B">
        <w:trPr>
          <w:trHeight w:hRule="exact" w:val="288"/>
        </w:trPr>
        <w:tc>
          <w:tcPr>
            <w:tcW w:w="3420" w:type="dxa"/>
            <w:tcBorders>
              <w:top w:val="nil"/>
              <w:left w:val="nil"/>
              <w:bottom w:val="nil"/>
              <w:right w:val="nil"/>
            </w:tcBorders>
            <w:shd w:val="clear" w:color="000000" w:fill="F2F2F2"/>
            <w:noWrap/>
            <w:vAlign w:val="bottom"/>
            <w:hideMark/>
          </w:tcPr>
          <w:p w14:paraId="58604662"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Voting Democrats</w:t>
            </w:r>
          </w:p>
        </w:tc>
        <w:tc>
          <w:tcPr>
            <w:tcW w:w="2070" w:type="dxa"/>
            <w:tcBorders>
              <w:top w:val="nil"/>
              <w:left w:val="nil"/>
              <w:bottom w:val="nil"/>
              <w:right w:val="nil"/>
            </w:tcBorders>
            <w:shd w:val="clear" w:color="000000" w:fill="F2F2F2"/>
            <w:noWrap/>
            <w:vAlign w:val="bottom"/>
            <w:hideMark/>
          </w:tcPr>
          <w:p w14:paraId="0078F75F"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 xml:space="preserve">           12,255 </w:t>
            </w:r>
          </w:p>
        </w:tc>
      </w:tr>
    </w:tbl>
    <w:p w14:paraId="6AF85000" w14:textId="77777777" w:rsidR="00E078A5" w:rsidRPr="00E078A5" w:rsidRDefault="00E078A5" w:rsidP="00E078A5">
      <w:pPr>
        <w:rPr>
          <w:rFonts w:cs="Times New Roman"/>
          <w:bCs/>
        </w:rPr>
      </w:pPr>
    </w:p>
    <w:p w14:paraId="53221080" w14:textId="3520E915" w:rsidR="00E078A5" w:rsidRDefault="00D858A1" w:rsidP="009244D1">
      <w:pPr>
        <w:ind w:firstLine="720"/>
      </w:pPr>
      <w:r>
        <w:t>Also, i360</w:t>
      </w:r>
      <w:r w:rsidR="00E078A5" w:rsidRPr="00E078A5">
        <w:t xml:space="preserve"> enable</w:t>
      </w:r>
      <w:r>
        <w:t>s</w:t>
      </w:r>
      <w:r w:rsidR="00E078A5" w:rsidRPr="00E078A5">
        <w:t xml:space="preserve"> advertisers to run se</w:t>
      </w:r>
      <w:r>
        <w:t xml:space="preserve">amless, </w:t>
      </w:r>
      <w:r w:rsidR="000F0E8B">
        <w:t>multi-media</w:t>
      </w:r>
      <w:r>
        <w:t xml:space="preserve"> campaigns to</w:t>
      </w:r>
      <w:r w:rsidR="00E078A5" w:rsidRPr="00E078A5">
        <w:t xml:space="preserve"> reach their audience </w:t>
      </w:r>
      <w:r>
        <w:t>by</w:t>
      </w:r>
      <w:r w:rsidR="00E078A5" w:rsidRPr="00E078A5">
        <w:t xml:space="preserve"> </w:t>
      </w:r>
      <w:r>
        <w:t>onboarding</w:t>
      </w:r>
      <w:r w:rsidR="00E078A5" w:rsidRPr="00E078A5">
        <w:t xml:space="preserve"> all of their models into cookie segments for online display and video advertising. The below chart contains the counts for unique cookies</w:t>
      </w:r>
      <w:r w:rsidR="009244D1">
        <w:rPr>
          <w:rStyle w:val="FootnoteReference"/>
        </w:rPr>
        <w:footnoteReference w:id="2"/>
      </w:r>
      <w:r w:rsidR="00E078A5" w:rsidRPr="00E078A5">
        <w:t xml:space="preserve"> with impressions seen over a 30 </w:t>
      </w:r>
      <w:r>
        <w:t xml:space="preserve">day period within </w:t>
      </w:r>
      <w:proofErr w:type="spellStart"/>
      <w:r>
        <w:t>Mountainville</w:t>
      </w:r>
      <w:proofErr w:type="spellEnd"/>
      <w:r w:rsidR="00E078A5" w:rsidRPr="00E078A5">
        <w:t xml:space="preserve">. </w:t>
      </w:r>
      <w:r w:rsidR="00A60B2E">
        <w:t>Ricardo can choose to</w:t>
      </w:r>
      <w:r>
        <w:t xml:space="preserve"> add another level of sophistication to his media plan by</w:t>
      </w:r>
      <w:r w:rsidR="00A60B2E">
        <w:t xml:space="preserve"> </w:t>
      </w:r>
      <w:r w:rsidR="009244D1">
        <w:t>select</w:t>
      </w:r>
      <w:r>
        <w:t>ing</w:t>
      </w:r>
      <w:r w:rsidR="009244D1">
        <w:t xml:space="preserve"> from the </w:t>
      </w:r>
      <w:r w:rsidR="00E078A5" w:rsidRPr="00E078A5">
        <w:t>cookie segments</w:t>
      </w:r>
      <w:r w:rsidR="009244D1">
        <w:t xml:space="preserve"> listed in the chart below at a $1.50 CPM per segment</w:t>
      </w:r>
      <w:r w:rsidR="00E078A5" w:rsidRPr="00E078A5">
        <w:t xml:space="preserve">. </w:t>
      </w:r>
      <w:r w:rsidR="00D6762B">
        <w:t xml:space="preserve">Ricardo </w:t>
      </w:r>
      <w:r w:rsidR="00C8137D">
        <w:t xml:space="preserve">again </w:t>
      </w:r>
      <w:r w:rsidR="00D6762B">
        <w:t>noted that the $1.50 CPM is added to the digital media CPM only if he decides to use these additional targeting options.</w:t>
      </w:r>
      <w:r w:rsidR="00E078A5" w:rsidRPr="00E078A5">
        <w:t xml:space="preserve">   </w:t>
      </w:r>
    </w:p>
    <w:tbl>
      <w:tblPr>
        <w:tblW w:w="5620" w:type="dxa"/>
        <w:tblInd w:w="2052" w:type="dxa"/>
        <w:tblLook w:val="04A0" w:firstRow="1" w:lastRow="0" w:firstColumn="1" w:lastColumn="0" w:noHBand="0" w:noVBand="1"/>
      </w:tblPr>
      <w:tblGrid>
        <w:gridCol w:w="3220"/>
        <w:gridCol w:w="2400"/>
      </w:tblGrid>
      <w:tr w:rsidR="00E078A5" w:rsidRPr="00E078A5" w14:paraId="51F822D4" w14:textId="77777777" w:rsidTr="000F0E8B">
        <w:trPr>
          <w:trHeight w:hRule="exact" w:val="288"/>
        </w:trPr>
        <w:tc>
          <w:tcPr>
            <w:tcW w:w="3220" w:type="dxa"/>
            <w:tcBorders>
              <w:top w:val="nil"/>
              <w:left w:val="nil"/>
              <w:bottom w:val="nil"/>
              <w:right w:val="nil"/>
            </w:tcBorders>
            <w:shd w:val="clear" w:color="000000" w:fill="BFBFBF"/>
            <w:vAlign w:val="center"/>
            <w:hideMark/>
          </w:tcPr>
          <w:p w14:paraId="15723123" w14:textId="77777777" w:rsidR="00E078A5" w:rsidRPr="00E078A5" w:rsidRDefault="00E078A5" w:rsidP="00DB577D">
            <w:pPr>
              <w:jc w:val="center"/>
              <w:rPr>
                <w:rFonts w:eastAsia="Times New Roman" w:cs="Times New Roman"/>
              </w:rPr>
            </w:pPr>
            <w:r w:rsidRPr="00E078A5">
              <w:rPr>
                <w:rFonts w:eastAsia="Times New Roman" w:cs="Times New Roman"/>
              </w:rPr>
              <w:t>Segment</w:t>
            </w:r>
          </w:p>
        </w:tc>
        <w:tc>
          <w:tcPr>
            <w:tcW w:w="2400" w:type="dxa"/>
            <w:tcBorders>
              <w:top w:val="nil"/>
              <w:left w:val="nil"/>
              <w:bottom w:val="nil"/>
              <w:right w:val="nil"/>
            </w:tcBorders>
            <w:shd w:val="clear" w:color="000000" w:fill="BFBFBF"/>
            <w:vAlign w:val="center"/>
            <w:hideMark/>
          </w:tcPr>
          <w:p w14:paraId="58D3D751" w14:textId="77777777" w:rsidR="00E078A5" w:rsidRPr="00E078A5" w:rsidRDefault="00E078A5" w:rsidP="00DB577D">
            <w:pPr>
              <w:jc w:val="center"/>
              <w:rPr>
                <w:rFonts w:eastAsia="Times New Roman" w:cs="Times New Roman"/>
              </w:rPr>
            </w:pPr>
            <w:r w:rsidRPr="00E078A5">
              <w:rPr>
                <w:rFonts w:eastAsia="Times New Roman" w:cs="Times New Roman"/>
              </w:rPr>
              <w:t>Unique Cookies With Impressions</w:t>
            </w:r>
          </w:p>
        </w:tc>
      </w:tr>
      <w:tr w:rsidR="00E078A5" w:rsidRPr="00E078A5" w14:paraId="440F0185" w14:textId="77777777" w:rsidTr="000F0E8B">
        <w:trPr>
          <w:trHeight w:hRule="exact" w:val="288"/>
        </w:trPr>
        <w:tc>
          <w:tcPr>
            <w:tcW w:w="3220" w:type="dxa"/>
            <w:tcBorders>
              <w:top w:val="nil"/>
              <w:left w:val="nil"/>
              <w:bottom w:val="nil"/>
              <w:right w:val="nil"/>
            </w:tcBorders>
            <w:shd w:val="clear" w:color="000000" w:fill="F2F2F2"/>
            <w:noWrap/>
            <w:vAlign w:val="center"/>
            <w:hideMark/>
          </w:tcPr>
          <w:p w14:paraId="375D0824"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2016 Voters Ages 18-29</w:t>
            </w:r>
          </w:p>
        </w:tc>
        <w:tc>
          <w:tcPr>
            <w:tcW w:w="2400" w:type="dxa"/>
            <w:tcBorders>
              <w:top w:val="nil"/>
              <w:left w:val="nil"/>
              <w:bottom w:val="nil"/>
              <w:right w:val="nil"/>
            </w:tcBorders>
            <w:shd w:val="clear" w:color="000000" w:fill="F2F2F2"/>
            <w:noWrap/>
            <w:vAlign w:val="center"/>
            <w:hideMark/>
          </w:tcPr>
          <w:p w14:paraId="070E20DA"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59,807</w:t>
            </w:r>
          </w:p>
        </w:tc>
      </w:tr>
      <w:tr w:rsidR="00E078A5" w:rsidRPr="00E078A5" w14:paraId="56867CAA" w14:textId="77777777" w:rsidTr="000F0E8B">
        <w:trPr>
          <w:trHeight w:hRule="exact" w:val="288"/>
        </w:trPr>
        <w:tc>
          <w:tcPr>
            <w:tcW w:w="3220" w:type="dxa"/>
            <w:tcBorders>
              <w:top w:val="nil"/>
              <w:left w:val="nil"/>
              <w:bottom w:val="nil"/>
              <w:right w:val="nil"/>
            </w:tcBorders>
            <w:shd w:val="clear" w:color="auto" w:fill="auto"/>
            <w:noWrap/>
            <w:vAlign w:val="center"/>
            <w:hideMark/>
          </w:tcPr>
          <w:p w14:paraId="0EBA193F"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2016 Voters Ages 30-44</w:t>
            </w:r>
          </w:p>
        </w:tc>
        <w:tc>
          <w:tcPr>
            <w:tcW w:w="2400" w:type="dxa"/>
            <w:tcBorders>
              <w:top w:val="nil"/>
              <w:left w:val="nil"/>
              <w:bottom w:val="nil"/>
              <w:right w:val="nil"/>
            </w:tcBorders>
            <w:shd w:val="clear" w:color="auto" w:fill="auto"/>
            <w:noWrap/>
            <w:vAlign w:val="center"/>
            <w:hideMark/>
          </w:tcPr>
          <w:p w14:paraId="146735C5"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97,916</w:t>
            </w:r>
          </w:p>
        </w:tc>
      </w:tr>
      <w:tr w:rsidR="00E078A5" w:rsidRPr="00E078A5" w14:paraId="24A62CEA" w14:textId="77777777" w:rsidTr="000F0E8B">
        <w:trPr>
          <w:trHeight w:hRule="exact" w:val="288"/>
        </w:trPr>
        <w:tc>
          <w:tcPr>
            <w:tcW w:w="3220" w:type="dxa"/>
            <w:tcBorders>
              <w:top w:val="nil"/>
              <w:left w:val="nil"/>
              <w:bottom w:val="nil"/>
              <w:right w:val="nil"/>
            </w:tcBorders>
            <w:shd w:val="clear" w:color="000000" w:fill="F2F2F2"/>
            <w:noWrap/>
            <w:vAlign w:val="center"/>
            <w:hideMark/>
          </w:tcPr>
          <w:p w14:paraId="00696525"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2016 Voters Ages 45-54</w:t>
            </w:r>
          </w:p>
        </w:tc>
        <w:tc>
          <w:tcPr>
            <w:tcW w:w="2400" w:type="dxa"/>
            <w:tcBorders>
              <w:top w:val="nil"/>
              <w:left w:val="nil"/>
              <w:bottom w:val="nil"/>
              <w:right w:val="nil"/>
            </w:tcBorders>
            <w:shd w:val="clear" w:color="000000" w:fill="F2F2F2"/>
            <w:noWrap/>
            <w:vAlign w:val="center"/>
            <w:hideMark/>
          </w:tcPr>
          <w:p w14:paraId="6659F8AF"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132,032</w:t>
            </w:r>
          </w:p>
        </w:tc>
      </w:tr>
      <w:tr w:rsidR="00E078A5" w:rsidRPr="00E078A5" w14:paraId="167A93BC" w14:textId="77777777" w:rsidTr="000F0E8B">
        <w:trPr>
          <w:trHeight w:hRule="exact" w:val="288"/>
        </w:trPr>
        <w:tc>
          <w:tcPr>
            <w:tcW w:w="3220" w:type="dxa"/>
            <w:tcBorders>
              <w:top w:val="nil"/>
              <w:left w:val="nil"/>
              <w:bottom w:val="nil"/>
              <w:right w:val="nil"/>
            </w:tcBorders>
            <w:shd w:val="clear" w:color="auto" w:fill="auto"/>
            <w:noWrap/>
            <w:vAlign w:val="center"/>
            <w:hideMark/>
          </w:tcPr>
          <w:p w14:paraId="1615DEFB"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2016 Voters Ages 55-64</w:t>
            </w:r>
          </w:p>
        </w:tc>
        <w:tc>
          <w:tcPr>
            <w:tcW w:w="2400" w:type="dxa"/>
            <w:tcBorders>
              <w:top w:val="nil"/>
              <w:left w:val="nil"/>
              <w:bottom w:val="nil"/>
              <w:right w:val="nil"/>
            </w:tcBorders>
            <w:shd w:val="clear" w:color="auto" w:fill="auto"/>
            <w:noWrap/>
            <w:vAlign w:val="center"/>
            <w:hideMark/>
          </w:tcPr>
          <w:p w14:paraId="60181215"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138,455</w:t>
            </w:r>
          </w:p>
        </w:tc>
      </w:tr>
      <w:tr w:rsidR="00E078A5" w:rsidRPr="00E078A5" w14:paraId="33B696E0" w14:textId="77777777" w:rsidTr="000F0E8B">
        <w:trPr>
          <w:trHeight w:hRule="exact" w:val="288"/>
        </w:trPr>
        <w:tc>
          <w:tcPr>
            <w:tcW w:w="3220" w:type="dxa"/>
            <w:tcBorders>
              <w:top w:val="nil"/>
              <w:left w:val="nil"/>
              <w:bottom w:val="nil"/>
              <w:right w:val="nil"/>
            </w:tcBorders>
            <w:shd w:val="clear" w:color="000000" w:fill="F2F2F2"/>
            <w:noWrap/>
            <w:vAlign w:val="center"/>
            <w:hideMark/>
          </w:tcPr>
          <w:p w14:paraId="7782608B"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Likely 2016 Voters Ages 64+</w:t>
            </w:r>
          </w:p>
        </w:tc>
        <w:tc>
          <w:tcPr>
            <w:tcW w:w="2400" w:type="dxa"/>
            <w:tcBorders>
              <w:top w:val="nil"/>
              <w:left w:val="nil"/>
              <w:bottom w:val="nil"/>
              <w:right w:val="nil"/>
            </w:tcBorders>
            <w:shd w:val="clear" w:color="000000" w:fill="F2F2F2"/>
            <w:noWrap/>
            <w:vAlign w:val="center"/>
            <w:hideMark/>
          </w:tcPr>
          <w:p w14:paraId="5FBEBF1D"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113,580</w:t>
            </w:r>
          </w:p>
        </w:tc>
      </w:tr>
      <w:tr w:rsidR="00E078A5" w:rsidRPr="00E078A5" w14:paraId="5D876A9B" w14:textId="77777777" w:rsidTr="000F0E8B">
        <w:trPr>
          <w:trHeight w:hRule="exact" w:val="288"/>
        </w:trPr>
        <w:tc>
          <w:tcPr>
            <w:tcW w:w="3220" w:type="dxa"/>
            <w:tcBorders>
              <w:top w:val="nil"/>
              <w:left w:val="nil"/>
              <w:bottom w:val="nil"/>
              <w:right w:val="nil"/>
            </w:tcBorders>
            <w:shd w:val="clear" w:color="auto" w:fill="auto"/>
            <w:noWrap/>
            <w:vAlign w:val="center"/>
            <w:hideMark/>
          </w:tcPr>
          <w:p w14:paraId="7EC6D2F5"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All Likely 2016 Voters</w:t>
            </w:r>
          </w:p>
        </w:tc>
        <w:tc>
          <w:tcPr>
            <w:tcW w:w="2400" w:type="dxa"/>
            <w:tcBorders>
              <w:top w:val="nil"/>
              <w:left w:val="nil"/>
              <w:bottom w:val="nil"/>
              <w:right w:val="nil"/>
            </w:tcBorders>
            <w:shd w:val="clear" w:color="auto" w:fill="auto"/>
            <w:noWrap/>
            <w:vAlign w:val="center"/>
            <w:hideMark/>
          </w:tcPr>
          <w:p w14:paraId="2C97FB10"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1,186,451</w:t>
            </w:r>
          </w:p>
        </w:tc>
      </w:tr>
      <w:tr w:rsidR="00E078A5" w:rsidRPr="00E078A5" w14:paraId="4DD0F1E9" w14:textId="77777777" w:rsidTr="000F0E8B">
        <w:trPr>
          <w:trHeight w:hRule="exact" w:val="288"/>
        </w:trPr>
        <w:tc>
          <w:tcPr>
            <w:tcW w:w="3220" w:type="dxa"/>
            <w:tcBorders>
              <w:top w:val="nil"/>
              <w:left w:val="nil"/>
              <w:bottom w:val="nil"/>
              <w:right w:val="nil"/>
            </w:tcBorders>
            <w:shd w:val="clear" w:color="000000" w:fill="F2F2F2"/>
            <w:noWrap/>
            <w:vAlign w:val="center"/>
            <w:hideMark/>
          </w:tcPr>
          <w:p w14:paraId="2F119553"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Republican Voters</w:t>
            </w:r>
          </w:p>
        </w:tc>
        <w:tc>
          <w:tcPr>
            <w:tcW w:w="2400" w:type="dxa"/>
            <w:tcBorders>
              <w:top w:val="nil"/>
              <w:left w:val="nil"/>
              <w:bottom w:val="nil"/>
              <w:right w:val="nil"/>
            </w:tcBorders>
            <w:shd w:val="clear" w:color="000000" w:fill="F2F2F2"/>
            <w:noWrap/>
            <w:vAlign w:val="center"/>
            <w:hideMark/>
          </w:tcPr>
          <w:p w14:paraId="509A62E6"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1,090,375</w:t>
            </w:r>
          </w:p>
        </w:tc>
      </w:tr>
      <w:tr w:rsidR="00E078A5" w:rsidRPr="00E078A5" w14:paraId="7256FE36" w14:textId="77777777" w:rsidTr="000F0E8B">
        <w:trPr>
          <w:trHeight w:hRule="exact" w:val="288"/>
        </w:trPr>
        <w:tc>
          <w:tcPr>
            <w:tcW w:w="3220" w:type="dxa"/>
            <w:tcBorders>
              <w:top w:val="nil"/>
              <w:left w:val="nil"/>
              <w:bottom w:val="nil"/>
              <w:right w:val="nil"/>
            </w:tcBorders>
            <w:shd w:val="clear" w:color="auto" w:fill="auto"/>
            <w:noWrap/>
            <w:vAlign w:val="center"/>
            <w:hideMark/>
          </w:tcPr>
          <w:p w14:paraId="63DD681C"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All Registered Voters</w:t>
            </w:r>
          </w:p>
        </w:tc>
        <w:tc>
          <w:tcPr>
            <w:tcW w:w="2400" w:type="dxa"/>
            <w:tcBorders>
              <w:top w:val="nil"/>
              <w:left w:val="nil"/>
              <w:bottom w:val="nil"/>
              <w:right w:val="nil"/>
            </w:tcBorders>
            <w:shd w:val="clear" w:color="auto" w:fill="auto"/>
            <w:noWrap/>
            <w:vAlign w:val="center"/>
            <w:hideMark/>
          </w:tcPr>
          <w:p w14:paraId="3FEFECAA"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1,972,841</w:t>
            </w:r>
          </w:p>
        </w:tc>
      </w:tr>
      <w:tr w:rsidR="00E078A5" w:rsidRPr="00E078A5" w14:paraId="2008224A" w14:textId="77777777" w:rsidTr="000F0E8B">
        <w:trPr>
          <w:trHeight w:hRule="exact" w:val="288"/>
        </w:trPr>
        <w:tc>
          <w:tcPr>
            <w:tcW w:w="3220" w:type="dxa"/>
            <w:tcBorders>
              <w:top w:val="nil"/>
              <w:left w:val="nil"/>
              <w:bottom w:val="nil"/>
              <w:right w:val="nil"/>
            </w:tcBorders>
            <w:shd w:val="clear" w:color="000000" w:fill="F2F2F2"/>
            <w:noWrap/>
            <w:vAlign w:val="center"/>
            <w:hideMark/>
          </w:tcPr>
          <w:p w14:paraId="0E635043" w14:textId="77777777" w:rsidR="00E078A5" w:rsidRPr="00E078A5" w:rsidRDefault="00E078A5" w:rsidP="00DB577D">
            <w:pPr>
              <w:rPr>
                <w:rFonts w:eastAsia="Times New Roman" w:cs="Times New Roman"/>
                <w:color w:val="000000"/>
              </w:rPr>
            </w:pPr>
            <w:r w:rsidRPr="00E078A5">
              <w:rPr>
                <w:rFonts w:eastAsia="Times New Roman" w:cs="Times New Roman"/>
                <w:color w:val="000000"/>
              </w:rPr>
              <w:t>Swing GOP Voters</w:t>
            </w:r>
          </w:p>
        </w:tc>
        <w:tc>
          <w:tcPr>
            <w:tcW w:w="2400" w:type="dxa"/>
            <w:tcBorders>
              <w:top w:val="nil"/>
              <w:left w:val="nil"/>
              <w:bottom w:val="nil"/>
              <w:right w:val="nil"/>
            </w:tcBorders>
            <w:shd w:val="clear" w:color="000000" w:fill="F2F2F2"/>
            <w:noWrap/>
            <w:vAlign w:val="center"/>
            <w:hideMark/>
          </w:tcPr>
          <w:p w14:paraId="130ACA86" w14:textId="77777777" w:rsidR="00E078A5" w:rsidRPr="00E078A5" w:rsidRDefault="00E078A5" w:rsidP="00DB577D">
            <w:pPr>
              <w:jc w:val="center"/>
              <w:rPr>
                <w:rFonts w:eastAsia="Times New Roman" w:cs="Times New Roman"/>
                <w:color w:val="000000"/>
              </w:rPr>
            </w:pPr>
            <w:r w:rsidRPr="00E078A5">
              <w:rPr>
                <w:rFonts w:eastAsia="Times New Roman" w:cs="Times New Roman"/>
                <w:color w:val="000000"/>
              </w:rPr>
              <w:t>331,364</w:t>
            </w:r>
          </w:p>
        </w:tc>
      </w:tr>
    </w:tbl>
    <w:p w14:paraId="73183FC8" w14:textId="77777777" w:rsidR="00E078A5" w:rsidRDefault="00E078A5"/>
    <w:p w14:paraId="2F0A9678" w14:textId="333CB30A" w:rsidR="004577AE" w:rsidRPr="00D95DF2" w:rsidRDefault="004577AE">
      <w:r>
        <w:tab/>
        <w:t>Equipped with this new tool, Ricardo has to decide if it will help the “Yes on YEA” campaign and decide how to modify the media plan before his June meeting to include these new options. The client does not have extra money to add, so decisions to include addressable television or targeted digital campaigns will have to come at the expense of another media option. Ricardo was also aware that vendors sometimes reach out directly to advertisers, so was preparing to answer questions about these tools regardless of whether he added them to his media plan or not.</w:t>
      </w:r>
    </w:p>
    <w:p w14:paraId="1BF06918" w14:textId="77777777" w:rsidR="00DA60A7" w:rsidRPr="00711FEB" w:rsidRDefault="00DA60A7" w:rsidP="000B4887">
      <w:pPr>
        <w:jc w:val="center"/>
        <w:rPr>
          <w:b/>
        </w:rPr>
      </w:pPr>
      <w:r>
        <w:rPr>
          <w:b/>
        </w:rPr>
        <w:t># # #</w:t>
      </w:r>
    </w:p>
    <w:sectPr w:rsidR="00DA60A7" w:rsidRPr="00711FE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2A53A" w14:textId="77777777" w:rsidR="000F2D28" w:rsidRDefault="000F2D28" w:rsidP="0093433F">
      <w:pPr>
        <w:spacing w:after="0" w:line="240" w:lineRule="auto"/>
      </w:pPr>
      <w:r>
        <w:separator/>
      </w:r>
    </w:p>
  </w:endnote>
  <w:endnote w:type="continuationSeparator" w:id="0">
    <w:p w14:paraId="273A492D" w14:textId="77777777" w:rsidR="000F2D28" w:rsidRDefault="000F2D28" w:rsidP="0093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21E91" w14:textId="77777777" w:rsidR="0093433F" w:rsidRDefault="0093433F">
    <w:pPr>
      <w:pStyle w:val="Footer"/>
    </w:pPr>
    <w:r>
      <w:rPr>
        <w:sz w:val="16"/>
      </w:rPr>
      <w:t>.</w:t>
    </w:r>
  </w:p>
  <w:p w14:paraId="5F2B88C0" w14:textId="77777777" w:rsidR="0093433F" w:rsidRDefault="009343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7AF8B" w14:textId="77777777" w:rsidR="000F2D28" w:rsidRDefault="000F2D28" w:rsidP="0093433F">
      <w:pPr>
        <w:spacing w:after="0" w:line="240" w:lineRule="auto"/>
      </w:pPr>
      <w:r>
        <w:separator/>
      </w:r>
    </w:p>
  </w:footnote>
  <w:footnote w:type="continuationSeparator" w:id="0">
    <w:p w14:paraId="6131030E" w14:textId="77777777" w:rsidR="000F2D28" w:rsidRDefault="000F2D28" w:rsidP="0093433F">
      <w:pPr>
        <w:spacing w:after="0" w:line="240" w:lineRule="auto"/>
      </w:pPr>
      <w:r>
        <w:continuationSeparator/>
      </w:r>
    </w:p>
  </w:footnote>
  <w:footnote w:id="1">
    <w:p w14:paraId="3573B098" w14:textId="77777777" w:rsidR="00C47779" w:rsidRPr="002D6FB7" w:rsidRDefault="00C47779">
      <w:pPr>
        <w:pStyle w:val="FootnoteText"/>
        <w:rPr>
          <w:sz w:val="18"/>
          <w:szCs w:val="18"/>
        </w:rPr>
      </w:pPr>
      <w:r w:rsidRPr="0020295A">
        <w:rPr>
          <w:rStyle w:val="FootnoteReference"/>
        </w:rPr>
        <w:footnoteRef/>
      </w:r>
      <w:r w:rsidRPr="0020295A">
        <w:t xml:space="preserve"> </w:t>
      </w:r>
      <w:r w:rsidRPr="002D6FB7">
        <w:rPr>
          <w:sz w:val="18"/>
          <w:szCs w:val="18"/>
        </w:rPr>
        <w:t xml:space="preserve">The Youth Enfranchisement Act campaign is fictitious and not based on any actual industry organization or marketing initiative.  Research data is drawn from consumer studies and may have been edited for the purposes of this case study exercise. Students are encouraged to augment the provided data with their own research. </w:t>
      </w:r>
      <w:proofErr w:type="gramStart"/>
      <w:r w:rsidRPr="002D6FB7">
        <w:rPr>
          <w:sz w:val="18"/>
          <w:szCs w:val="18"/>
        </w:rPr>
        <w:t>© 2016 by the authors and the Washington Media Scholars Foundation.</w:t>
      </w:r>
      <w:proofErr w:type="gramEnd"/>
      <w:r w:rsidRPr="002D6FB7">
        <w:rPr>
          <w:sz w:val="18"/>
          <w:szCs w:val="18"/>
        </w:rPr>
        <w:t xml:space="preserve"> </w:t>
      </w:r>
      <w:proofErr w:type="gramStart"/>
      <w:r w:rsidRPr="002D6FB7">
        <w:rPr>
          <w:sz w:val="18"/>
          <w:szCs w:val="18"/>
        </w:rPr>
        <w:t>May be reproduced only by permission.</w:t>
      </w:r>
      <w:proofErr w:type="gramEnd"/>
    </w:p>
  </w:footnote>
  <w:footnote w:id="2">
    <w:p w14:paraId="324A98DA" w14:textId="77777777" w:rsidR="009244D1" w:rsidRDefault="009244D1">
      <w:pPr>
        <w:pStyle w:val="FootnoteText"/>
      </w:pPr>
      <w:r>
        <w:rPr>
          <w:rStyle w:val="FootnoteReference"/>
        </w:rPr>
        <w:footnoteRef/>
      </w:r>
      <w:r>
        <w:t xml:space="preserve"> </w:t>
      </w:r>
      <w:r w:rsidRPr="009244D1">
        <w:rPr>
          <w:sz w:val="18"/>
          <w:szCs w:val="18"/>
        </w:rPr>
        <w:t>Combining segments does not accrue additional cost. It should also be noted that cookies are not equivalent to individuals and it is likely that one individual has several cookies – at least one per device.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E67FF" w14:textId="77777777" w:rsidR="00711FEB" w:rsidRPr="00D369F2" w:rsidRDefault="00711FEB" w:rsidP="00711FEB">
    <w:pPr>
      <w:pStyle w:val="Header"/>
      <w:pBdr>
        <w:bottom w:val="single" w:sz="4" w:space="1" w:color="D9D9D9" w:themeColor="background1" w:themeShade="D9"/>
      </w:pBdr>
      <w:rPr>
        <w:b/>
        <w:bCs/>
        <w:sz w:val="18"/>
      </w:rPr>
    </w:pPr>
    <w:r>
      <w:rPr>
        <w:color w:val="808080" w:themeColor="background1" w:themeShade="80"/>
        <w:spacing w:val="60"/>
        <w:sz w:val="18"/>
      </w:rPr>
      <w:t>Yes on YEA</w:t>
    </w:r>
    <w:r w:rsidRPr="00D369F2">
      <w:rPr>
        <w:color w:val="808080" w:themeColor="background1" w:themeShade="80"/>
        <w:spacing w:val="60"/>
        <w:sz w:val="18"/>
      </w:rPr>
      <w:tab/>
      <w:t>WMSF 201</w:t>
    </w:r>
    <w:r>
      <w:rPr>
        <w:color w:val="808080" w:themeColor="background1" w:themeShade="80"/>
        <w:spacing w:val="60"/>
        <w:sz w:val="18"/>
      </w:rPr>
      <w:t>6</w:t>
    </w:r>
    <w:r w:rsidRPr="00D369F2">
      <w:rPr>
        <w:color w:val="808080" w:themeColor="background1" w:themeShade="80"/>
        <w:spacing w:val="60"/>
        <w:sz w:val="18"/>
      </w:rPr>
      <w:t xml:space="preserve"> Case Competition</w:t>
    </w:r>
    <w:r w:rsidRPr="00D369F2">
      <w:rPr>
        <w:color w:val="808080" w:themeColor="background1" w:themeShade="80"/>
        <w:spacing w:val="60"/>
        <w:sz w:val="18"/>
      </w:rPr>
      <w:tab/>
    </w:r>
    <w:sdt>
      <w:sdtPr>
        <w:rPr>
          <w:color w:val="808080" w:themeColor="background1" w:themeShade="80"/>
          <w:spacing w:val="60"/>
          <w:sz w:val="18"/>
        </w:rPr>
        <w:id w:val="-2109111710"/>
        <w:docPartObj>
          <w:docPartGallery w:val="Page Numbers (Top of Page)"/>
          <w:docPartUnique/>
        </w:docPartObj>
      </w:sdtPr>
      <w:sdtEndPr>
        <w:rPr>
          <w:b/>
          <w:bCs/>
          <w:noProof/>
          <w:color w:val="auto"/>
          <w:spacing w:val="0"/>
        </w:rPr>
      </w:sdtEndPr>
      <w:sdtContent>
        <w:r w:rsidRPr="00D369F2">
          <w:rPr>
            <w:color w:val="808080" w:themeColor="background1" w:themeShade="80"/>
            <w:spacing w:val="60"/>
            <w:sz w:val="18"/>
          </w:rPr>
          <w:t>Page</w:t>
        </w:r>
        <w:r w:rsidRPr="00D369F2">
          <w:rPr>
            <w:sz w:val="18"/>
          </w:rPr>
          <w:t xml:space="preserve"> | </w:t>
        </w:r>
        <w:r w:rsidRPr="00D369F2">
          <w:rPr>
            <w:sz w:val="18"/>
          </w:rPr>
          <w:fldChar w:fldCharType="begin"/>
        </w:r>
        <w:r w:rsidRPr="00D369F2">
          <w:rPr>
            <w:sz w:val="18"/>
          </w:rPr>
          <w:instrText xml:space="preserve"> PAGE   \* MERGEFORMAT </w:instrText>
        </w:r>
        <w:r w:rsidRPr="00D369F2">
          <w:rPr>
            <w:sz w:val="18"/>
          </w:rPr>
          <w:fldChar w:fldCharType="separate"/>
        </w:r>
        <w:r w:rsidR="00BA2268" w:rsidRPr="00BA2268">
          <w:rPr>
            <w:b/>
            <w:bCs/>
            <w:noProof/>
            <w:sz w:val="18"/>
          </w:rPr>
          <w:t>1</w:t>
        </w:r>
        <w:r w:rsidRPr="00D369F2">
          <w:rPr>
            <w:b/>
            <w:bCs/>
            <w:noProof/>
            <w:sz w:val="18"/>
          </w:rPr>
          <w:fldChar w:fldCharType="end"/>
        </w:r>
      </w:sdtContent>
    </w:sdt>
  </w:p>
  <w:p w14:paraId="7A387926" w14:textId="77777777" w:rsidR="00711FEB" w:rsidRDefault="00711FEB">
    <w:pPr>
      <w:pStyle w:val="Header"/>
    </w:pPr>
  </w:p>
  <w:p w14:paraId="638CAD00" w14:textId="77777777" w:rsidR="00711FEB" w:rsidRDefault="00711F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77A72"/>
    <w:multiLevelType w:val="hybridMultilevel"/>
    <w:tmpl w:val="8A14CAFA"/>
    <w:lvl w:ilvl="0" w:tplc="04090019">
      <w:start w:val="1"/>
      <w:numFmt w:val="lowerLetter"/>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9E7E89"/>
    <w:multiLevelType w:val="hybridMultilevel"/>
    <w:tmpl w:val="8A14CAFA"/>
    <w:lvl w:ilvl="0" w:tplc="04090019">
      <w:start w:val="1"/>
      <w:numFmt w:val="lowerLetter"/>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80"/>
    <w:rsid w:val="000216E0"/>
    <w:rsid w:val="00025F4D"/>
    <w:rsid w:val="0006604E"/>
    <w:rsid w:val="000710BB"/>
    <w:rsid w:val="000B4887"/>
    <w:rsid w:val="000D0098"/>
    <w:rsid w:val="000D6695"/>
    <w:rsid w:val="000F0E8B"/>
    <w:rsid w:val="000F2D28"/>
    <w:rsid w:val="001035F3"/>
    <w:rsid w:val="00114DCB"/>
    <w:rsid w:val="00127B5F"/>
    <w:rsid w:val="00147DFA"/>
    <w:rsid w:val="001545F5"/>
    <w:rsid w:val="001611FD"/>
    <w:rsid w:val="001623E4"/>
    <w:rsid w:val="00172776"/>
    <w:rsid w:val="00183C57"/>
    <w:rsid w:val="00185430"/>
    <w:rsid w:val="001D0AA0"/>
    <w:rsid w:val="001D1D1F"/>
    <w:rsid w:val="001D7DE3"/>
    <w:rsid w:val="001E3FB9"/>
    <w:rsid w:val="0020295A"/>
    <w:rsid w:val="00217074"/>
    <w:rsid w:val="00231571"/>
    <w:rsid w:val="00271F30"/>
    <w:rsid w:val="00291479"/>
    <w:rsid w:val="002B0E8D"/>
    <w:rsid w:val="002B1644"/>
    <w:rsid w:val="002B21C1"/>
    <w:rsid w:val="002C1EEB"/>
    <w:rsid w:val="002C75CC"/>
    <w:rsid w:val="002D6FB7"/>
    <w:rsid w:val="002D6FD3"/>
    <w:rsid w:val="003303CF"/>
    <w:rsid w:val="003357C4"/>
    <w:rsid w:val="00346172"/>
    <w:rsid w:val="003478A6"/>
    <w:rsid w:val="00361829"/>
    <w:rsid w:val="003747F2"/>
    <w:rsid w:val="003A5843"/>
    <w:rsid w:val="003B109C"/>
    <w:rsid w:val="003B3722"/>
    <w:rsid w:val="003D7CA4"/>
    <w:rsid w:val="00413298"/>
    <w:rsid w:val="004447F1"/>
    <w:rsid w:val="004577AE"/>
    <w:rsid w:val="00465894"/>
    <w:rsid w:val="00482CDF"/>
    <w:rsid w:val="0049713D"/>
    <w:rsid w:val="004C763E"/>
    <w:rsid w:val="004E095E"/>
    <w:rsid w:val="004E5A8C"/>
    <w:rsid w:val="004F6053"/>
    <w:rsid w:val="00544524"/>
    <w:rsid w:val="00563D05"/>
    <w:rsid w:val="00580FBA"/>
    <w:rsid w:val="005C2D2F"/>
    <w:rsid w:val="005E4608"/>
    <w:rsid w:val="00602D38"/>
    <w:rsid w:val="00610ED5"/>
    <w:rsid w:val="00627E3C"/>
    <w:rsid w:val="00696BAF"/>
    <w:rsid w:val="006A32D1"/>
    <w:rsid w:val="006B2380"/>
    <w:rsid w:val="006F0B5B"/>
    <w:rsid w:val="00711FEB"/>
    <w:rsid w:val="00743680"/>
    <w:rsid w:val="00744245"/>
    <w:rsid w:val="00755672"/>
    <w:rsid w:val="00782BC1"/>
    <w:rsid w:val="007C34B9"/>
    <w:rsid w:val="007C7493"/>
    <w:rsid w:val="0080021E"/>
    <w:rsid w:val="008066E5"/>
    <w:rsid w:val="008169C7"/>
    <w:rsid w:val="008414CC"/>
    <w:rsid w:val="0084602E"/>
    <w:rsid w:val="0084754B"/>
    <w:rsid w:val="00863500"/>
    <w:rsid w:val="0086439B"/>
    <w:rsid w:val="0087080E"/>
    <w:rsid w:val="00886400"/>
    <w:rsid w:val="008877C3"/>
    <w:rsid w:val="008A6461"/>
    <w:rsid w:val="008B3033"/>
    <w:rsid w:val="008C1F5A"/>
    <w:rsid w:val="008C5135"/>
    <w:rsid w:val="008D0E02"/>
    <w:rsid w:val="00904D9A"/>
    <w:rsid w:val="009244D1"/>
    <w:rsid w:val="0093433F"/>
    <w:rsid w:val="00941EC3"/>
    <w:rsid w:val="009834F6"/>
    <w:rsid w:val="0098615A"/>
    <w:rsid w:val="00992570"/>
    <w:rsid w:val="00994F5A"/>
    <w:rsid w:val="009D3232"/>
    <w:rsid w:val="00A22474"/>
    <w:rsid w:val="00A2275E"/>
    <w:rsid w:val="00A24EFE"/>
    <w:rsid w:val="00A367D0"/>
    <w:rsid w:val="00A41EB6"/>
    <w:rsid w:val="00A50D68"/>
    <w:rsid w:val="00A60B2E"/>
    <w:rsid w:val="00A71084"/>
    <w:rsid w:val="00A87283"/>
    <w:rsid w:val="00A90F2E"/>
    <w:rsid w:val="00A9702D"/>
    <w:rsid w:val="00AA5364"/>
    <w:rsid w:val="00AE1DE2"/>
    <w:rsid w:val="00AF3419"/>
    <w:rsid w:val="00AF6909"/>
    <w:rsid w:val="00AF7189"/>
    <w:rsid w:val="00B21024"/>
    <w:rsid w:val="00B247A2"/>
    <w:rsid w:val="00B55D61"/>
    <w:rsid w:val="00B57E39"/>
    <w:rsid w:val="00B662E2"/>
    <w:rsid w:val="00B72AC9"/>
    <w:rsid w:val="00B7706F"/>
    <w:rsid w:val="00B87581"/>
    <w:rsid w:val="00B97B6C"/>
    <w:rsid w:val="00BA2268"/>
    <w:rsid w:val="00BB4050"/>
    <w:rsid w:val="00BB5DF9"/>
    <w:rsid w:val="00C37DD7"/>
    <w:rsid w:val="00C47779"/>
    <w:rsid w:val="00C5640F"/>
    <w:rsid w:val="00C707FF"/>
    <w:rsid w:val="00C8137D"/>
    <w:rsid w:val="00CC0BAB"/>
    <w:rsid w:val="00CC7CC3"/>
    <w:rsid w:val="00CD4E00"/>
    <w:rsid w:val="00CE00EA"/>
    <w:rsid w:val="00D0528A"/>
    <w:rsid w:val="00D2511D"/>
    <w:rsid w:val="00D368C0"/>
    <w:rsid w:val="00D42F4B"/>
    <w:rsid w:val="00D6762B"/>
    <w:rsid w:val="00D73AD2"/>
    <w:rsid w:val="00D858A1"/>
    <w:rsid w:val="00D95DF2"/>
    <w:rsid w:val="00DA60A7"/>
    <w:rsid w:val="00DB0FB4"/>
    <w:rsid w:val="00DC54A8"/>
    <w:rsid w:val="00DD4531"/>
    <w:rsid w:val="00E078A5"/>
    <w:rsid w:val="00E43714"/>
    <w:rsid w:val="00E451B5"/>
    <w:rsid w:val="00E73ECA"/>
    <w:rsid w:val="00EB4D90"/>
    <w:rsid w:val="00EC226C"/>
    <w:rsid w:val="00ED5D19"/>
    <w:rsid w:val="00EE63FF"/>
    <w:rsid w:val="00F0533C"/>
    <w:rsid w:val="00F223A8"/>
    <w:rsid w:val="00F407F1"/>
    <w:rsid w:val="00F45162"/>
    <w:rsid w:val="00F475A4"/>
    <w:rsid w:val="00F70834"/>
    <w:rsid w:val="00F815B8"/>
    <w:rsid w:val="00F823EC"/>
    <w:rsid w:val="00FC0B65"/>
    <w:rsid w:val="00FE36C0"/>
    <w:rsid w:val="00FE6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0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B65"/>
    <w:rPr>
      <w:rFonts w:ascii="Tahoma" w:hAnsi="Tahoma" w:cs="Tahoma"/>
      <w:sz w:val="16"/>
      <w:szCs w:val="16"/>
    </w:rPr>
  </w:style>
  <w:style w:type="paragraph" w:styleId="Header">
    <w:name w:val="header"/>
    <w:basedOn w:val="Normal"/>
    <w:link w:val="HeaderChar"/>
    <w:uiPriority w:val="99"/>
    <w:unhideWhenUsed/>
    <w:rsid w:val="00934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33F"/>
  </w:style>
  <w:style w:type="paragraph" w:styleId="Footer">
    <w:name w:val="footer"/>
    <w:basedOn w:val="Normal"/>
    <w:link w:val="FooterChar"/>
    <w:uiPriority w:val="99"/>
    <w:unhideWhenUsed/>
    <w:rsid w:val="00934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33F"/>
  </w:style>
  <w:style w:type="character" w:styleId="FootnoteReference">
    <w:name w:val="footnote reference"/>
    <w:basedOn w:val="DefaultParagraphFont"/>
    <w:uiPriority w:val="99"/>
    <w:semiHidden/>
    <w:unhideWhenUsed/>
    <w:rsid w:val="0093433F"/>
    <w:rPr>
      <w:vertAlign w:val="superscript"/>
    </w:rPr>
  </w:style>
  <w:style w:type="paragraph" w:styleId="FootnoteText">
    <w:name w:val="footnote text"/>
    <w:basedOn w:val="Normal"/>
    <w:link w:val="FootnoteTextChar"/>
    <w:uiPriority w:val="99"/>
    <w:semiHidden/>
    <w:unhideWhenUsed/>
    <w:rsid w:val="00C47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779"/>
    <w:rPr>
      <w:sz w:val="20"/>
      <w:szCs w:val="20"/>
    </w:rPr>
  </w:style>
  <w:style w:type="paragraph" w:styleId="EndnoteText">
    <w:name w:val="endnote text"/>
    <w:basedOn w:val="Normal"/>
    <w:link w:val="EndnoteTextChar"/>
    <w:uiPriority w:val="99"/>
    <w:semiHidden/>
    <w:unhideWhenUsed/>
    <w:rsid w:val="002914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1479"/>
    <w:rPr>
      <w:sz w:val="20"/>
      <w:szCs w:val="20"/>
    </w:rPr>
  </w:style>
  <w:style w:type="character" w:styleId="EndnoteReference">
    <w:name w:val="endnote reference"/>
    <w:basedOn w:val="DefaultParagraphFont"/>
    <w:uiPriority w:val="99"/>
    <w:semiHidden/>
    <w:unhideWhenUsed/>
    <w:rsid w:val="00291479"/>
    <w:rPr>
      <w:vertAlign w:val="superscript"/>
    </w:rPr>
  </w:style>
  <w:style w:type="character" w:styleId="CommentReference">
    <w:name w:val="annotation reference"/>
    <w:basedOn w:val="DefaultParagraphFont"/>
    <w:uiPriority w:val="99"/>
    <w:semiHidden/>
    <w:unhideWhenUsed/>
    <w:rsid w:val="00F407F1"/>
    <w:rPr>
      <w:sz w:val="18"/>
      <w:szCs w:val="18"/>
    </w:rPr>
  </w:style>
  <w:style w:type="paragraph" w:styleId="CommentText">
    <w:name w:val="annotation text"/>
    <w:basedOn w:val="Normal"/>
    <w:link w:val="CommentTextChar"/>
    <w:uiPriority w:val="99"/>
    <w:semiHidden/>
    <w:unhideWhenUsed/>
    <w:rsid w:val="00F407F1"/>
    <w:pPr>
      <w:spacing w:line="240" w:lineRule="auto"/>
    </w:pPr>
    <w:rPr>
      <w:sz w:val="24"/>
      <w:szCs w:val="24"/>
    </w:rPr>
  </w:style>
  <w:style w:type="character" w:customStyle="1" w:styleId="CommentTextChar">
    <w:name w:val="Comment Text Char"/>
    <w:basedOn w:val="DefaultParagraphFont"/>
    <w:link w:val="CommentText"/>
    <w:uiPriority w:val="99"/>
    <w:semiHidden/>
    <w:rsid w:val="00F407F1"/>
    <w:rPr>
      <w:sz w:val="24"/>
      <w:szCs w:val="24"/>
    </w:rPr>
  </w:style>
  <w:style w:type="paragraph" w:styleId="CommentSubject">
    <w:name w:val="annotation subject"/>
    <w:basedOn w:val="CommentText"/>
    <w:next w:val="CommentText"/>
    <w:link w:val="CommentSubjectChar"/>
    <w:uiPriority w:val="99"/>
    <w:semiHidden/>
    <w:unhideWhenUsed/>
    <w:rsid w:val="00F407F1"/>
    <w:rPr>
      <w:b/>
      <w:bCs/>
      <w:sz w:val="20"/>
      <w:szCs w:val="20"/>
    </w:rPr>
  </w:style>
  <w:style w:type="character" w:customStyle="1" w:styleId="CommentSubjectChar">
    <w:name w:val="Comment Subject Char"/>
    <w:basedOn w:val="CommentTextChar"/>
    <w:link w:val="CommentSubject"/>
    <w:uiPriority w:val="99"/>
    <w:semiHidden/>
    <w:rsid w:val="00F407F1"/>
    <w:rPr>
      <w:b/>
      <w:bCs/>
      <w:sz w:val="20"/>
      <w:szCs w:val="20"/>
    </w:rPr>
  </w:style>
  <w:style w:type="paragraph" w:styleId="Revision">
    <w:name w:val="Revision"/>
    <w:hidden/>
    <w:uiPriority w:val="99"/>
    <w:semiHidden/>
    <w:rsid w:val="00F407F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0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B65"/>
    <w:rPr>
      <w:rFonts w:ascii="Tahoma" w:hAnsi="Tahoma" w:cs="Tahoma"/>
      <w:sz w:val="16"/>
      <w:szCs w:val="16"/>
    </w:rPr>
  </w:style>
  <w:style w:type="paragraph" w:styleId="Header">
    <w:name w:val="header"/>
    <w:basedOn w:val="Normal"/>
    <w:link w:val="HeaderChar"/>
    <w:uiPriority w:val="99"/>
    <w:unhideWhenUsed/>
    <w:rsid w:val="00934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33F"/>
  </w:style>
  <w:style w:type="paragraph" w:styleId="Footer">
    <w:name w:val="footer"/>
    <w:basedOn w:val="Normal"/>
    <w:link w:val="FooterChar"/>
    <w:uiPriority w:val="99"/>
    <w:unhideWhenUsed/>
    <w:rsid w:val="00934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33F"/>
  </w:style>
  <w:style w:type="character" w:styleId="FootnoteReference">
    <w:name w:val="footnote reference"/>
    <w:basedOn w:val="DefaultParagraphFont"/>
    <w:uiPriority w:val="99"/>
    <w:semiHidden/>
    <w:unhideWhenUsed/>
    <w:rsid w:val="0093433F"/>
    <w:rPr>
      <w:vertAlign w:val="superscript"/>
    </w:rPr>
  </w:style>
  <w:style w:type="paragraph" w:styleId="FootnoteText">
    <w:name w:val="footnote text"/>
    <w:basedOn w:val="Normal"/>
    <w:link w:val="FootnoteTextChar"/>
    <w:uiPriority w:val="99"/>
    <w:semiHidden/>
    <w:unhideWhenUsed/>
    <w:rsid w:val="00C47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779"/>
    <w:rPr>
      <w:sz w:val="20"/>
      <w:szCs w:val="20"/>
    </w:rPr>
  </w:style>
  <w:style w:type="paragraph" w:styleId="EndnoteText">
    <w:name w:val="endnote text"/>
    <w:basedOn w:val="Normal"/>
    <w:link w:val="EndnoteTextChar"/>
    <w:uiPriority w:val="99"/>
    <w:semiHidden/>
    <w:unhideWhenUsed/>
    <w:rsid w:val="002914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1479"/>
    <w:rPr>
      <w:sz w:val="20"/>
      <w:szCs w:val="20"/>
    </w:rPr>
  </w:style>
  <w:style w:type="character" w:styleId="EndnoteReference">
    <w:name w:val="endnote reference"/>
    <w:basedOn w:val="DefaultParagraphFont"/>
    <w:uiPriority w:val="99"/>
    <w:semiHidden/>
    <w:unhideWhenUsed/>
    <w:rsid w:val="00291479"/>
    <w:rPr>
      <w:vertAlign w:val="superscript"/>
    </w:rPr>
  </w:style>
  <w:style w:type="character" w:styleId="CommentReference">
    <w:name w:val="annotation reference"/>
    <w:basedOn w:val="DefaultParagraphFont"/>
    <w:uiPriority w:val="99"/>
    <w:semiHidden/>
    <w:unhideWhenUsed/>
    <w:rsid w:val="00F407F1"/>
    <w:rPr>
      <w:sz w:val="18"/>
      <w:szCs w:val="18"/>
    </w:rPr>
  </w:style>
  <w:style w:type="paragraph" w:styleId="CommentText">
    <w:name w:val="annotation text"/>
    <w:basedOn w:val="Normal"/>
    <w:link w:val="CommentTextChar"/>
    <w:uiPriority w:val="99"/>
    <w:semiHidden/>
    <w:unhideWhenUsed/>
    <w:rsid w:val="00F407F1"/>
    <w:pPr>
      <w:spacing w:line="240" w:lineRule="auto"/>
    </w:pPr>
    <w:rPr>
      <w:sz w:val="24"/>
      <w:szCs w:val="24"/>
    </w:rPr>
  </w:style>
  <w:style w:type="character" w:customStyle="1" w:styleId="CommentTextChar">
    <w:name w:val="Comment Text Char"/>
    <w:basedOn w:val="DefaultParagraphFont"/>
    <w:link w:val="CommentText"/>
    <w:uiPriority w:val="99"/>
    <w:semiHidden/>
    <w:rsid w:val="00F407F1"/>
    <w:rPr>
      <w:sz w:val="24"/>
      <w:szCs w:val="24"/>
    </w:rPr>
  </w:style>
  <w:style w:type="paragraph" w:styleId="CommentSubject">
    <w:name w:val="annotation subject"/>
    <w:basedOn w:val="CommentText"/>
    <w:next w:val="CommentText"/>
    <w:link w:val="CommentSubjectChar"/>
    <w:uiPriority w:val="99"/>
    <w:semiHidden/>
    <w:unhideWhenUsed/>
    <w:rsid w:val="00F407F1"/>
    <w:rPr>
      <w:b/>
      <w:bCs/>
      <w:sz w:val="20"/>
      <w:szCs w:val="20"/>
    </w:rPr>
  </w:style>
  <w:style w:type="character" w:customStyle="1" w:styleId="CommentSubjectChar">
    <w:name w:val="Comment Subject Char"/>
    <w:basedOn w:val="CommentTextChar"/>
    <w:link w:val="CommentSubject"/>
    <w:uiPriority w:val="99"/>
    <w:semiHidden/>
    <w:rsid w:val="00F407F1"/>
    <w:rPr>
      <w:b/>
      <w:bCs/>
      <w:sz w:val="20"/>
      <w:szCs w:val="20"/>
    </w:rPr>
  </w:style>
  <w:style w:type="paragraph" w:styleId="Revision">
    <w:name w:val="Revision"/>
    <w:hidden/>
    <w:uiPriority w:val="99"/>
    <w:semiHidden/>
    <w:rsid w:val="00F407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69CA8-1580-4E58-A4F3-F4210BC5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Angle</dc:creator>
  <cp:lastModifiedBy>Ben Angle</cp:lastModifiedBy>
  <cp:revision>6</cp:revision>
  <cp:lastPrinted>2016-02-23T19:17:00Z</cp:lastPrinted>
  <dcterms:created xsi:type="dcterms:W3CDTF">2016-05-11T18:57:00Z</dcterms:created>
  <dcterms:modified xsi:type="dcterms:W3CDTF">2016-05-11T21:34:00Z</dcterms:modified>
</cp:coreProperties>
</file>