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4D" w:rsidRDefault="00A17F4D" w:rsidP="00A17F4D">
      <w:pPr>
        <w:rPr>
          <w:b/>
        </w:rPr>
      </w:pPr>
      <w:bookmarkStart w:id="0" w:name="Title"/>
    </w:p>
    <w:p w:rsidR="00A83C70" w:rsidRPr="00990DFB" w:rsidRDefault="00990DFB" w:rsidP="00990DFB">
      <w:pPr>
        <w:jc w:val="center"/>
        <w:rPr>
          <w:b/>
        </w:rPr>
      </w:pPr>
      <w:r w:rsidRPr="00990DFB">
        <w:rPr>
          <w:b/>
        </w:rPr>
        <w:t>Paci</w:t>
      </w:r>
      <w:r w:rsidR="00447CE5">
        <w:rPr>
          <w:b/>
        </w:rPr>
        <w:t>fic City Cultural Association</w:t>
      </w:r>
      <w:r w:rsidR="003A482F">
        <w:rPr>
          <w:rStyle w:val="FootnoteReference"/>
          <w:b/>
        </w:rPr>
        <w:footnoteReference w:id="1"/>
      </w:r>
    </w:p>
    <w:bookmarkEnd w:id="0"/>
    <w:p w:rsidR="00990DFB" w:rsidRDefault="00990DFB"/>
    <w:p w:rsidR="00990DFB" w:rsidRDefault="00990DFB">
      <w:r>
        <w:tab/>
        <w:t xml:space="preserve">You are the </w:t>
      </w:r>
      <w:r w:rsidR="00D81FC8">
        <w:t>twenty-three-year-old</w:t>
      </w:r>
      <w:r w:rsidR="00C066D9">
        <w:t xml:space="preserve"> media</w:t>
      </w:r>
      <w:r>
        <w:t xml:space="preserve"> director of the Pacific City Cultural Associ</w:t>
      </w:r>
      <w:r w:rsidR="00EB310C">
        <w:t>ation</w:t>
      </w:r>
      <w:r>
        <w:t>, a not-for-profit organization that promotes</w:t>
      </w:r>
      <w:r w:rsidR="00C066D9">
        <w:t xml:space="preserve"> </w:t>
      </w:r>
      <w:r w:rsidR="00EB310C">
        <w:t>museums and performing arts institutions</w:t>
      </w:r>
      <w:r w:rsidR="00C066D9">
        <w:t xml:space="preserve"> in one of the country’s largest media markets</w:t>
      </w:r>
      <w:r w:rsidR="00EB310C">
        <w:t xml:space="preserve">. You have worked for PCCA </w:t>
      </w:r>
      <w:r w:rsidR="001F5A22">
        <w:t>since graduating from Pacific City C</w:t>
      </w:r>
      <w:r w:rsidR="00EB310C">
        <w:t>ollege with a majo</w:t>
      </w:r>
      <w:r w:rsidR="00C65744">
        <w:t xml:space="preserve">r in </w:t>
      </w:r>
      <w:r w:rsidR="00EB310C">
        <w:t>marketing communications</w:t>
      </w:r>
      <w:r w:rsidR="00C65744">
        <w:t xml:space="preserve"> and a minor in art history</w:t>
      </w:r>
      <w:r w:rsidR="00EB310C">
        <w:t>.</w:t>
      </w:r>
    </w:p>
    <w:p w:rsidR="00EB310C" w:rsidRDefault="00EB310C"/>
    <w:p w:rsidR="00EB310C" w:rsidRDefault="00EB310C">
      <w:r>
        <w:tab/>
      </w:r>
      <w:r w:rsidR="001114F8">
        <w:t xml:space="preserve">A bi-partisan bill has been introduced in the Pacific City Council that would fund needed infrastructure improvements at PCCA museums and performance venues. </w:t>
      </w:r>
      <w:r w:rsidR="00405BAD">
        <w:t>PCCA management wants to improve attendance and increase arts supporter awareness</w:t>
      </w:r>
      <w:r w:rsidR="00D81FC8">
        <w:t xml:space="preserve"> of PCCA</w:t>
      </w:r>
      <w:r w:rsidR="00405BAD">
        <w:t xml:space="preserve"> as the Pacific City Council begins to consider increa</w:t>
      </w:r>
      <w:r w:rsidR="00D81FC8">
        <w:t>sed arts</w:t>
      </w:r>
      <w:r w:rsidR="00405BAD">
        <w:t xml:space="preserve"> funding. </w:t>
      </w:r>
      <w:r>
        <w:t xml:space="preserve">Last week, a group of </w:t>
      </w:r>
      <w:r w:rsidR="001F5A22">
        <w:t xml:space="preserve">local </w:t>
      </w:r>
      <w:r>
        <w:t xml:space="preserve">arts patrons – including members of a prominent </w:t>
      </w:r>
      <w:r w:rsidR="006927CC">
        <w:t xml:space="preserve">PCCA donor </w:t>
      </w:r>
      <w:r w:rsidR="00D71D55">
        <w:t>family who</w:t>
      </w:r>
      <w:r>
        <w:t xml:space="preserve"> own a number of media properties in the Pacific City market –</w:t>
      </w:r>
      <w:r w:rsidR="001F5A22">
        <w:t xml:space="preserve"> offered</w:t>
      </w:r>
      <w:r>
        <w:t xml:space="preserve"> the </w:t>
      </w:r>
      <w:r w:rsidR="00324FEA">
        <w:t>PCCA a gift of $1,8</w:t>
      </w:r>
      <w:r w:rsidR="001F5A22">
        <w:t>00,000 in do</w:t>
      </w:r>
      <w:r w:rsidR="00324FEA">
        <w:t>nated free advertising for a two</w:t>
      </w:r>
      <w:r w:rsidR="001F5A22">
        <w:t xml:space="preserve">-month campaign to </w:t>
      </w:r>
      <w:r w:rsidR="00D81FC8">
        <w:t>drive attendance and awareness</w:t>
      </w:r>
      <w:r w:rsidR="00C90ED3">
        <w:t>. You have been asked by</w:t>
      </w:r>
      <w:r w:rsidR="001F5A22">
        <w:t xml:space="preserve"> PCCA’s executive director to recommen</w:t>
      </w:r>
      <w:r w:rsidR="006B31EA">
        <w:t>d how the $1,800</w:t>
      </w:r>
      <w:r w:rsidR="00C60BA7">
        <w:t xml:space="preserve">,000 </w:t>
      </w:r>
      <w:r w:rsidR="00503989">
        <w:t>advertising</w:t>
      </w:r>
      <w:r w:rsidR="001F5A22">
        <w:t xml:space="preserve"> </w:t>
      </w:r>
      <w:r w:rsidR="00C60BA7">
        <w:t xml:space="preserve">budget </w:t>
      </w:r>
      <w:r w:rsidR="006B31EA">
        <w:t>should be allocated among the nine</w:t>
      </w:r>
      <w:r w:rsidR="001F5A22">
        <w:t xml:space="preserve"> different types of me</w:t>
      </w:r>
      <w:r w:rsidR="006B31EA">
        <w:t xml:space="preserve">dia vehicles </w:t>
      </w:r>
      <w:r w:rsidR="00F1235A">
        <w:t xml:space="preserve">which have been </w:t>
      </w:r>
      <w:r w:rsidR="006B31EA">
        <w:t>donated for the two</w:t>
      </w:r>
      <w:r w:rsidR="001F5A22">
        <w:t>-month campaign.</w:t>
      </w:r>
    </w:p>
    <w:p w:rsidR="00990DFB" w:rsidRDefault="00990DFB"/>
    <w:p w:rsidR="00990DFB" w:rsidRDefault="00990DFB">
      <w:r w:rsidRPr="00990DFB">
        <w:rPr>
          <w:b/>
        </w:rPr>
        <w:t>The Pacific City Cultural Association</w:t>
      </w:r>
    </w:p>
    <w:p w:rsidR="00990DFB" w:rsidRDefault="00990DFB"/>
    <w:p w:rsidR="000A6A09" w:rsidRDefault="00114ACE" w:rsidP="000A6A09">
      <w:pPr>
        <w:ind w:firstLine="720"/>
      </w:pPr>
      <w:r>
        <w:t>Established in 195</w:t>
      </w:r>
      <w:r w:rsidR="00990DFB">
        <w:t>4, the PCCA</w:t>
      </w:r>
      <w:r w:rsidR="000A6A09">
        <w:t xml:space="preserve"> was created to foster the development of cultural attractions in fast growing Pacific City. Today, the PCCA’s small st</w:t>
      </w:r>
      <w:r w:rsidR="008B40B2">
        <w:t>aff serves as a coordinating</w:t>
      </w:r>
      <w:r w:rsidR="000A6A09">
        <w:t xml:space="preserve"> communications hub for the numerous cultural institutions that serve the metropolitan area. According to PCCA’s market research, about 3.6 million adults </w:t>
      </w:r>
      <w:r w:rsidR="00C240BF">
        <w:t>(18 years and older) or 26.5% of all adults have</w:t>
      </w:r>
      <w:r w:rsidR="002743D4">
        <w:t xml:space="preserve"> visited </w:t>
      </w:r>
      <w:r>
        <w:t xml:space="preserve">at least one museum </w:t>
      </w:r>
      <w:r w:rsidR="002743D4">
        <w:t>or</w:t>
      </w:r>
      <w:r>
        <w:t xml:space="preserve"> </w:t>
      </w:r>
      <w:r w:rsidR="00D71D55">
        <w:t xml:space="preserve">attended </w:t>
      </w:r>
      <w:r>
        <w:t>a</w:t>
      </w:r>
      <w:r w:rsidR="002743D4">
        <w:t xml:space="preserve"> performance in the past 12 months</w:t>
      </w:r>
      <w:r w:rsidR="001A2A6E">
        <w:t>:</w:t>
      </w:r>
    </w:p>
    <w:p w:rsidR="00990DFB" w:rsidRDefault="00990DFB"/>
    <w:p w:rsidR="00990DFB" w:rsidRDefault="003A482F" w:rsidP="00990DFB">
      <w:pPr>
        <w:jc w:val="center"/>
      </w:pPr>
      <w:r w:rsidRPr="003A482F">
        <w:rPr>
          <w:noProof/>
        </w:rPr>
        <w:drawing>
          <wp:inline distT="0" distB="0" distL="0" distR="0" wp14:anchorId="042B67AE" wp14:editId="10352A1F">
            <wp:extent cx="3036782" cy="1843256"/>
            <wp:effectExtent l="0" t="0" r="1143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8161" cy="1862302"/>
                    </a:xfrm>
                    <a:prstGeom prst="rect">
                      <a:avLst/>
                    </a:prstGeom>
                    <a:noFill/>
                    <a:ln>
                      <a:noFill/>
                    </a:ln>
                  </pic:spPr>
                </pic:pic>
              </a:graphicData>
            </a:graphic>
          </wp:inline>
        </w:drawing>
      </w:r>
    </w:p>
    <w:p w:rsidR="00990DFB" w:rsidRDefault="00990DFB"/>
    <w:p w:rsidR="00C240BF" w:rsidRDefault="00503989">
      <w:r>
        <w:t xml:space="preserve"> </w:t>
      </w:r>
    </w:p>
    <w:p w:rsidR="001A2A6E" w:rsidRDefault="001A2A6E">
      <w:pPr>
        <w:rPr>
          <w:b/>
        </w:rPr>
      </w:pPr>
    </w:p>
    <w:p w:rsidR="006B31EA" w:rsidRPr="006B31EA" w:rsidRDefault="006B31EA">
      <w:pPr>
        <w:rPr>
          <w:b/>
        </w:rPr>
      </w:pPr>
      <w:r w:rsidRPr="006B31EA">
        <w:rPr>
          <w:b/>
        </w:rPr>
        <w:t>The PCCA Advertising Campaign</w:t>
      </w:r>
      <w:bookmarkStart w:id="1" w:name="_GoBack"/>
      <w:bookmarkEnd w:id="1"/>
    </w:p>
    <w:p w:rsidR="006B31EA" w:rsidRDefault="006B31EA"/>
    <w:p w:rsidR="00652A06" w:rsidRDefault="006B31EA">
      <w:r>
        <w:tab/>
        <w:t xml:space="preserve">Your task is to present a recommendation for allocating the $1,800,000 </w:t>
      </w:r>
      <w:r w:rsidR="0053721A">
        <w:t xml:space="preserve">value of the campaign </w:t>
      </w:r>
      <w:r>
        <w:t xml:space="preserve">across the nine different media </w:t>
      </w:r>
      <w:r w:rsidR="00514EFC">
        <w:t>vehicles where time and space are</w:t>
      </w:r>
      <w:r>
        <w:t xml:space="preserve"> being made available to the PCCA </w:t>
      </w:r>
      <w:r>
        <w:lastRenderedPageBreak/>
        <w:t xml:space="preserve">advertising campaign. </w:t>
      </w:r>
      <w:r w:rsidR="001B6C05">
        <w:t xml:space="preserve">Although all time and space is being donated, you want to use the market cost of the </w:t>
      </w:r>
      <w:r w:rsidR="0053721A">
        <w:t xml:space="preserve">donated </w:t>
      </w:r>
      <w:r w:rsidR="001B6C05">
        <w:t>media to help guide your decisions about the media mix in your campaign.</w:t>
      </w:r>
      <w:r w:rsidR="0053721A">
        <w:t xml:space="preserve"> </w:t>
      </w:r>
    </w:p>
    <w:p w:rsidR="00652A06" w:rsidRDefault="00652A06"/>
    <w:p w:rsidR="006B31EA" w:rsidRDefault="0053721A" w:rsidP="00652A06">
      <w:pPr>
        <w:ind w:firstLine="720"/>
      </w:pPr>
      <w:r>
        <w:t xml:space="preserve">As a cost yardstick, </w:t>
      </w:r>
      <w:r w:rsidR="00FB326D">
        <w:t>a PCCA colleague has</w:t>
      </w:r>
      <w:r>
        <w:t xml:space="preserve"> prepared a table showing “cost-per-thousand impressions” for</w:t>
      </w:r>
      <w:r w:rsidR="00763127">
        <w:t xml:space="preserve"> each of the nine media</w:t>
      </w:r>
      <w:r>
        <w:t>. Sometimes “impressions” are also called “exposures” or “opportunities to see.”</w:t>
      </w:r>
      <w:r w:rsidR="00C426D7">
        <w:t xml:space="preserve"> Your estimated costs-per-thousand impression</w:t>
      </w:r>
      <w:r w:rsidR="00652A06">
        <w:t>s</w:t>
      </w:r>
      <w:r w:rsidR="00C426D7">
        <w:t xml:space="preserve"> range from a low of $5 cost-per-thousand for transit advertising to a high of $49 cost-per-thousand for print ads in the major metropolitan daily newspapers.</w:t>
      </w:r>
    </w:p>
    <w:p w:rsidR="0053721A" w:rsidRDefault="0053721A"/>
    <w:p w:rsidR="0053721A" w:rsidRDefault="0053721A">
      <w:r w:rsidRPr="0053721A">
        <w:rPr>
          <w:noProof/>
        </w:rPr>
        <w:drawing>
          <wp:inline distT="0" distB="0" distL="0" distR="0" wp14:anchorId="629DABAB" wp14:editId="55CFB91A">
            <wp:extent cx="5943600" cy="33778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77862"/>
                    </a:xfrm>
                    <a:prstGeom prst="rect">
                      <a:avLst/>
                    </a:prstGeom>
                    <a:noFill/>
                    <a:ln>
                      <a:noFill/>
                    </a:ln>
                  </pic:spPr>
                </pic:pic>
              </a:graphicData>
            </a:graphic>
          </wp:inline>
        </w:drawing>
      </w:r>
    </w:p>
    <w:p w:rsidR="00C426D7" w:rsidRDefault="00C426D7"/>
    <w:p w:rsidR="006B31EA" w:rsidRDefault="009A7BE3">
      <w:r>
        <w:tab/>
      </w:r>
      <w:r w:rsidR="00652A06">
        <w:t xml:space="preserve">Using consumer research available to the PCCA, you’ve estimated the percentage of media audiences who are likely to be your target “culture consumers,” the 26.5% of adults who visit museums or attend performing arts venues. For example, on National Public Radio, culture consumers make up 53% of the audience while culture consumers are only 26% of the audience on primetime access television shows such as </w:t>
      </w:r>
      <w:r w:rsidR="00414D49">
        <w:t>“</w:t>
      </w:r>
      <w:r w:rsidR="00652A06">
        <w:t>Wheel of Fortune</w:t>
      </w:r>
      <w:r w:rsidR="00414D49">
        <w:t>”</w:t>
      </w:r>
      <w:r w:rsidR="00652A06">
        <w:t>.</w:t>
      </w:r>
    </w:p>
    <w:p w:rsidR="00B72DF1" w:rsidRDefault="00B72DF1">
      <w:r>
        <w:br w:type="page"/>
      </w:r>
    </w:p>
    <w:p w:rsidR="00F12819" w:rsidRDefault="00F12819"/>
    <w:p w:rsidR="00F12819" w:rsidRPr="00F12819" w:rsidRDefault="00F12819">
      <w:pPr>
        <w:rPr>
          <w:b/>
        </w:rPr>
      </w:pPr>
      <w:r w:rsidRPr="00F12819">
        <w:rPr>
          <w:b/>
        </w:rPr>
        <w:t>Your PCCA Media Plan</w:t>
      </w:r>
    </w:p>
    <w:p w:rsidR="00F12819" w:rsidRDefault="00F12819"/>
    <w:p w:rsidR="002C6F56" w:rsidRDefault="00652A06">
      <w:r>
        <w:tab/>
      </w:r>
      <w:r w:rsidR="00B72DF1">
        <w:t xml:space="preserve">You have </w:t>
      </w:r>
      <w:r>
        <w:t>prepared</w:t>
      </w:r>
      <w:r w:rsidR="00F12819">
        <w:t xml:space="preserve"> an Excel spreadsheet to assist you in allocating the $1,800,000 campaign budget</w:t>
      </w:r>
      <w:r w:rsidR="00077922">
        <w:t xml:space="preserve"> across the nine media vehicles. </w:t>
      </w:r>
      <w:r w:rsidR="00F12819">
        <w:t xml:space="preserve">As a starting </w:t>
      </w:r>
      <w:r w:rsidR="002D7F41">
        <w:t>point,</w:t>
      </w:r>
      <w:r w:rsidR="00F12819">
        <w:t xml:space="preserve"> you have allocated $200,000 to each of the nine media vehicles.</w:t>
      </w:r>
      <w:r w:rsidR="0013495A">
        <w:t xml:space="preserve"> Your spreadsheet is designed to re-calculate all values as you change the dollar amounts in the grey-shaded column. </w:t>
      </w:r>
    </w:p>
    <w:p w:rsidR="002C6F56" w:rsidRDefault="002C6F56"/>
    <w:p w:rsidR="0003163A" w:rsidRDefault="00165085" w:rsidP="00AA0A78">
      <w:pPr>
        <w:ind w:firstLine="720"/>
      </w:pPr>
      <w:r>
        <w:t>Y</w:t>
      </w:r>
      <w:r w:rsidR="0013495A">
        <w:t xml:space="preserve">our goal is maximize the number of culture consumer impressions (Column H) </w:t>
      </w:r>
      <w:r>
        <w:t xml:space="preserve">by changing the dollar amounts in column A and playing “what-if?” – </w:t>
      </w:r>
      <w:r w:rsidR="0013495A">
        <w:t xml:space="preserve">while using your judgment regarding </w:t>
      </w:r>
      <w:r w:rsidR="00763127">
        <w:t xml:space="preserve">the </w:t>
      </w:r>
      <w:r w:rsidR="0013495A">
        <w:t>appropriate mix of the nine media. The PCCA executive director has told you that it is not necessary to use all of the nine media</w:t>
      </w:r>
      <w:r w:rsidR="002C6F56">
        <w:t>.</w:t>
      </w:r>
    </w:p>
    <w:p w:rsidR="00886F90" w:rsidRDefault="00886F90"/>
    <w:p w:rsidR="001A2A6E" w:rsidRDefault="000D5B71">
      <w:r w:rsidRPr="000D5B71">
        <w:rPr>
          <w:noProof/>
        </w:rPr>
        <w:drawing>
          <wp:inline distT="0" distB="0" distL="0" distR="0" wp14:anchorId="1CFD0F90" wp14:editId="334AB71E">
            <wp:extent cx="5943600" cy="5292981"/>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292981"/>
                    </a:xfrm>
                    <a:prstGeom prst="rect">
                      <a:avLst/>
                    </a:prstGeom>
                    <a:noFill/>
                    <a:ln>
                      <a:noFill/>
                    </a:ln>
                  </pic:spPr>
                </pic:pic>
              </a:graphicData>
            </a:graphic>
          </wp:inline>
        </w:drawing>
      </w:r>
    </w:p>
    <w:p w:rsidR="000D5B71" w:rsidRDefault="000D5B71"/>
    <w:p w:rsidR="00C85567" w:rsidRDefault="001A2A6E">
      <w:r>
        <w:tab/>
      </w:r>
      <w:r w:rsidR="00886F90">
        <w:t xml:space="preserve">Before beginning to try different scenarios, you should familiarize yourself with the underlying formulae in the spreadsheet by clicking on different cells to see how the values are calculated. For example, culture consumers make up 30.9% of the audience for late-night television programs as shown in column D – this is slightly higher than the 26.5% incidence of culture consumers in the total Pacific </w:t>
      </w:r>
      <w:r w:rsidR="00886F90">
        <w:lastRenderedPageBreak/>
        <w:t xml:space="preserve">City population. </w:t>
      </w:r>
      <w:r>
        <w:t>This is reflected in column E</w:t>
      </w:r>
      <w:r w:rsidR="00C85567">
        <w:t xml:space="preserve">, which shows a culture consumer media index of 116 – index values above 100 indicate that a media vehicle is more likely to reach culture consumers. In other words, late-night television audiences are 16% more likely than the average Pacific City adult to be culture consumers. </w:t>
      </w:r>
    </w:p>
    <w:p w:rsidR="00886F90" w:rsidRDefault="00886F90"/>
    <w:p w:rsidR="00C85567" w:rsidRDefault="00C85567">
      <w:r>
        <w:tab/>
        <w:t>A late-night television budget of $200,000 with an average cost per thousand impressions of $17 (column C) gives us a total of 11,764,706 estimated impressions with adults 18 years and older (column G). Since we know that, on average, 30.9% of these impressions will be with culture consumers, our spreadsheet estimates that we will achieve a total of 3,635,294 impressions with our target culture consumers (column H) on late-night television.</w:t>
      </w:r>
    </w:p>
    <w:p w:rsidR="00C85567" w:rsidRDefault="00C85567"/>
    <w:p w:rsidR="00C85567" w:rsidRDefault="00C85567">
      <w:r>
        <w:tab/>
        <w:t xml:space="preserve">In columns J and K, we see that late-night television </w:t>
      </w:r>
      <w:r w:rsidR="000E682E">
        <w:t xml:space="preserve">currently </w:t>
      </w:r>
      <w:r>
        <w:t>accounts for 10% of our total impressions with culture consumers, and is 11% of our total media budget.  Our average cost for reaching culture consumers on late-night television is $55 per 1000 culture consumer impressions (column L).</w:t>
      </w:r>
      <w:r w:rsidR="00421225">
        <w:t xml:space="preserve"> These figures will change as you manipulate dollar amounts in column A.</w:t>
      </w:r>
    </w:p>
    <w:p w:rsidR="00C85567" w:rsidRDefault="00C85567"/>
    <w:p w:rsidR="00C85567" w:rsidRDefault="00C85567">
      <w:r>
        <w:tab/>
        <w:t>As a starting point, you have allocated an equal $200,000 to each of the nine media.</w:t>
      </w:r>
      <w:r w:rsidR="00127932">
        <w:t xml:space="preserve"> At the bottom of the table you see that this yields a total number of adult impressions of 111,957,450. Comparing our adult impressions to the adult population of 13,593,000, we see that our impressions are equal to 824% of the adult population – in media math, this means we have achieved 824 gross ratings points (GRPs) among adults. Among our target culture consumers, however, we have achieved a higher 968 GRP level. An effective media plan will have a target GRP level that is higher than the overall adult GRP level.</w:t>
      </w:r>
    </w:p>
    <w:p w:rsidR="00C85567" w:rsidRDefault="00C85567"/>
    <w:p w:rsidR="00127932" w:rsidRDefault="00127932" w:rsidP="0043324E">
      <w:r w:rsidRPr="00127932">
        <w:rPr>
          <w:b/>
        </w:rPr>
        <w:t xml:space="preserve">Your PCCA Media Plan </w:t>
      </w:r>
      <w:r w:rsidR="0043324E">
        <w:rPr>
          <w:b/>
        </w:rPr>
        <w:t>Briefing</w:t>
      </w:r>
    </w:p>
    <w:p w:rsidR="00127932" w:rsidRDefault="0043324E">
      <w:r>
        <w:t xml:space="preserve">PCCA management is expecting </w:t>
      </w:r>
      <w:r w:rsidR="00127932">
        <w:t>the following:</w:t>
      </w:r>
    </w:p>
    <w:p w:rsidR="00127932" w:rsidRDefault="00127932"/>
    <w:p w:rsidR="00127932" w:rsidRDefault="00127932" w:rsidP="00127932">
      <w:pPr>
        <w:pStyle w:val="ListParagraph"/>
        <w:numPr>
          <w:ilvl w:val="0"/>
          <w:numId w:val="1"/>
        </w:numPr>
      </w:pPr>
      <w:r>
        <w:t xml:space="preserve">The Excel spreadsheet with your recommended allocation of the $1,800,000 budget. Make sure that your name and contact information appear on the spreadsheet </w:t>
      </w:r>
      <w:r w:rsidR="00D32130">
        <w:t>where</w:t>
      </w:r>
      <w:r>
        <w:t xml:space="preserve"> indicated</w:t>
      </w:r>
      <w:r w:rsidR="001A2A6E">
        <w:t>.</w:t>
      </w:r>
    </w:p>
    <w:p w:rsidR="0043324E" w:rsidRDefault="00A613AB" w:rsidP="00127932">
      <w:pPr>
        <w:pStyle w:val="ListParagraph"/>
        <w:numPr>
          <w:ilvl w:val="0"/>
          <w:numId w:val="1"/>
        </w:numPr>
      </w:pPr>
      <w:r>
        <w:t>A document</w:t>
      </w:r>
      <w:r w:rsidR="00D632DC">
        <w:t xml:space="preserve"> file</w:t>
      </w:r>
      <w:r>
        <w:t xml:space="preserve"> </w:t>
      </w:r>
      <w:r w:rsidR="0019359D">
        <w:t xml:space="preserve">(no longer than 8 pages) </w:t>
      </w:r>
      <w:r>
        <w:t>in which you answer the following questions in support of your media mix allocations. If you desire, the document may include tables or/and charts</w:t>
      </w:r>
      <w:r w:rsidR="0043324E">
        <w:t xml:space="preserve">. </w:t>
      </w:r>
    </w:p>
    <w:p w:rsidR="00A613AB" w:rsidRDefault="00A613AB" w:rsidP="00A613AB">
      <w:pPr>
        <w:pStyle w:val="ListParagraph"/>
        <w:numPr>
          <w:ilvl w:val="0"/>
          <w:numId w:val="2"/>
        </w:numPr>
      </w:pPr>
      <w:r>
        <w:t>What media received the largest shares of your budget and why? What media received the smallest shares and why?</w:t>
      </w:r>
    </w:p>
    <w:p w:rsidR="00A613AB" w:rsidRDefault="00A613AB" w:rsidP="00A613AB">
      <w:pPr>
        <w:pStyle w:val="ListParagraph"/>
        <w:numPr>
          <w:ilvl w:val="0"/>
          <w:numId w:val="2"/>
        </w:numPr>
      </w:pPr>
      <w:r>
        <w:t>Beyond maximizing the number of culture consumer impressions, what were some other factors that you took into consideration when determining your recommended media mix?</w:t>
      </w:r>
    </w:p>
    <w:p w:rsidR="000E682E" w:rsidRDefault="00A613AB" w:rsidP="00D32130">
      <w:pPr>
        <w:pStyle w:val="ListParagraph"/>
        <w:numPr>
          <w:ilvl w:val="0"/>
          <w:numId w:val="2"/>
        </w:numPr>
      </w:pPr>
      <w:r>
        <w:t>If the PCCA could solicit the donation of other types of media, what other media vehicles would you like to see included in your plan?</w:t>
      </w:r>
    </w:p>
    <w:p w:rsidR="000E682E" w:rsidRDefault="000E682E" w:rsidP="00D32130">
      <w:pPr>
        <w:rPr>
          <w:sz w:val="18"/>
          <w:szCs w:val="18"/>
        </w:rPr>
      </w:pPr>
    </w:p>
    <w:sectPr w:rsidR="000E682E" w:rsidSect="00FB326D">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AA6" w:rsidRDefault="00AB4AA6" w:rsidP="003A482F">
      <w:r>
        <w:separator/>
      </w:r>
    </w:p>
  </w:endnote>
  <w:endnote w:type="continuationSeparator" w:id="0">
    <w:p w:rsidR="00AB4AA6" w:rsidRDefault="00AB4AA6" w:rsidP="003A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AA6" w:rsidRDefault="00AB4AA6" w:rsidP="003A482F">
      <w:r>
        <w:separator/>
      </w:r>
    </w:p>
  </w:footnote>
  <w:footnote w:type="continuationSeparator" w:id="0">
    <w:p w:rsidR="00AB4AA6" w:rsidRDefault="00AB4AA6" w:rsidP="003A482F">
      <w:r>
        <w:continuationSeparator/>
      </w:r>
    </w:p>
  </w:footnote>
  <w:footnote w:id="1">
    <w:p w:rsidR="003F7FBE" w:rsidRDefault="003F7FBE">
      <w:pPr>
        <w:pStyle w:val="FootnoteText"/>
      </w:pPr>
      <w:r>
        <w:rPr>
          <w:rStyle w:val="FootnoteReference"/>
        </w:rPr>
        <w:footnoteRef/>
      </w:r>
      <w:r>
        <w:t xml:space="preserve"> </w:t>
      </w:r>
      <w:r w:rsidRPr="00B36659">
        <w:rPr>
          <w:sz w:val="18"/>
          <w:szCs w:val="18"/>
        </w:rPr>
        <w:t>The situation</w:t>
      </w:r>
      <w:r w:rsidR="00B36659" w:rsidRPr="00B36659">
        <w:rPr>
          <w:sz w:val="18"/>
          <w:szCs w:val="18"/>
        </w:rPr>
        <w:t xml:space="preserve"> described</w:t>
      </w:r>
      <w:r w:rsidRPr="00B36659">
        <w:rPr>
          <w:sz w:val="18"/>
          <w:szCs w:val="18"/>
        </w:rPr>
        <w:t xml:space="preserve"> </w:t>
      </w:r>
      <w:r w:rsidR="00B36659" w:rsidRPr="00B36659">
        <w:rPr>
          <w:sz w:val="18"/>
          <w:szCs w:val="18"/>
        </w:rPr>
        <w:t>is fictitious and not based on any actual industry organization or marketing initiative</w:t>
      </w:r>
      <w:r w:rsidR="00CD198C" w:rsidRPr="00B36659">
        <w:rPr>
          <w:sz w:val="18"/>
          <w:szCs w:val="18"/>
        </w:rPr>
        <w:t>. These p</w:t>
      </w:r>
      <w:r w:rsidRPr="00B36659">
        <w:rPr>
          <w:sz w:val="18"/>
          <w:szCs w:val="18"/>
        </w:rPr>
        <w:t>opul</w:t>
      </w:r>
      <w:r w:rsidR="00CD198C" w:rsidRPr="00B36659">
        <w:rPr>
          <w:sz w:val="18"/>
          <w:szCs w:val="18"/>
        </w:rPr>
        <w:t>ation estimates, media audience profiles</w:t>
      </w:r>
      <w:r w:rsidRPr="00B36659">
        <w:rPr>
          <w:sz w:val="18"/>
          <w:szCs w:val="18"/>
        </w:rPr>
        <w:t>,</w:t>
      </w:r>
      <w:r w:rsidR="00CD198C" w:rsidRPr="00B36659">
        <w:rPr>
          <w:sz w:val="18"/>
          <w:szCs w:val="18"/>
        </w:rPr>
        <w:t xml:space="preserve"> costs and other data are presented only for the purpose of </w:t>
      </w:r>
      <w:r w:rsidR="00B36659" w:rsidRPr="00B36659">
        <w:rPr>
          <w:sz w:val="18"/>
          <w:szCs w:val="18"/>
        </w:rPr>
        <w:t>this case competition.</w:t>
      </w:r>
      <w:r w:rsidR="00B36659" w:rsidRPr="00B36659">
        <w:rPr>
          <w:sz w:val="18"/>
          <w:szCs w:val="18"/>
        </w:rPr>
        <w:t xml:space="preserve"> Research data is drawn from consumer studies and may have been edited for the purposes of this case study exercise. Students are encouraged to augment the provided data with their own research.  </w:t>
      </w:r>
      <w:proofErr w:type="gramStart"/>
      <w:r w:rsidR="00B36659" w:rsidRPr="00B36659">
        <w:rPr>
          <w:sz w:val="18"/>
          <w:szCs w:val="18"/>
        </w:rPr>
        <w:t>© 201</w:t>
      </w:r>
      <w:r w:rsidR="00B36659" w:rsidRPr="00B36659">
        <w:rPr>
          <w:sz w:val="18"/>
          <w:szCs w:val="18"/>
        </w:rPr>
        <w:t>8</w:t>
      </w:r>
      <w:r w:rsidR="00B36659" w:rsidRPr="00B36659">
        <w:rPr>
          <w:sz w:val="18"/>
          <w:szCs w:val="18"/>
        </w:rPr>
        <w:t xml:space="preserve"> by the authors and the Washington Media Scholars Foundation.</w:t>
      </w:r>
      <w:proofErr w:type="gramEnd"/>
      <w:r w:rsidR="00B36659" w:rsidRPr="00B36659">
        <w:rPr>
          <w:sz w:val="18"/>
          <w:szCs w:val="18"/>
        </w:rPr>
        <w:t xml:space="preserve"> </w:t>
      </w:r>
      <w:proofErr w:type="gramStart"/>
      <w:r w:rsidR="00B36659" w:rsidRPr="00B36659">
        <w:rPr>
          <w:sz w:val="18"/>
          <w:szCs w:val="18"/>
        </w:rPr>
        <w:t>May be reproduced only by permission.</w:t>
      </w:r>
      <w:proofErr w:type="gramEnd"/>
      <w:r w:rsidR="00300525">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03502"/>
    <w:multiLevelType w:val="hybridMultilevel"/>
    <w:tmpl w:val="02500F8A"/>
    <w:lvl w:ilvl="0" w:tplc="7532A40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0ED31BA"/>
    <w:multiLevelType w:val="hybridMultilevel"/>
    <w:tmpl w:val="A49C704C"/>
    <w:lvl w:ilvl="0" w:tplc="EC42683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F1DC1C-765F-4D93-B98A-80ECC2767314}"/>
    <w:docVar w:name="dgnword-eventsink" w:val="157892288"/>
  </w:docVars>
  <w:rsids>
    <w:rsidRoot w:val="00990DFB"/>
    <w:rsid w:val="0003163A"/>
    <w:rsid w:val="00077922"/>
    <w:rsid w:val="000A6A09"/>
    <w:rsid w:val="000D5B71"/>
    <w:rsid w:val="000E682E"/>
    <w:rsid w:val="001114F8"/>
    <w:rsid w:val="00114ACE"/>
    <w:rsid w:val="00127932"/>
    <w:rsid w:val="00134634"/>
    <w:rsid w:val="0013495A"/>
    <w:rsid w:val="00165085"/>
    <w:rsid w:val="0019359D"/>
    <w:rsid w:val="001A2A6E"/>
    <w:rsid w:val="001B3762"/>
    <w:rsid w:val="001B6C05"/>
    <w:rsid w:val="001F5A22"/>
    <w:rsid w:val="002062E9"/>
    <w:rsid w:val="00270F95"/>
    <w:rsid w:val="002743D4"/>
    <w:rsid w:val="00291802"/>
    <w:rsid w:val="002A795E"/>
    <w:rsid w:val="002B3515"/>
    <w:rsid w:val="002C6F56"/>
    <w:rsid w:val="002D2A0C"/>
    <w:rsid w:val="002D5E39"/>
    <w:rsid w:val="002D7F41"/>
    <w:rsid w:val="00300525"/>
    <w:rsid w:val="00324FEA"/>
    <w:rsid w:val="00394FC5"/>
    <w:rsid w:val="003A482F"/>
    <w:rsid w:val="003B502B"/>
    <w:rsid w:val="003F7FBE"/>
    <w:rsid w:val="00405BAD"/>
    <w:rsid w:val="00414D49"/>
    <w:rsid w:val="00421225"/>
    <w:rsid w:val="0043324E"/>
    <w:rsid w:val="00447CE5"/>
    <w:rsid w:val="00454DDD"/>
    <w:rsid w:val="00494F02"/>
    <w:rsid w:val="004D247F"/>
    <w:rsid w:val="00503989"/>
    <w:rsid w:val="00514EFC"/>
    <w:rsid w:val="0053721A"/>
    <w:rsid w:val="005E5B22"/>
    <w:rsid w:val="00652A06"/>
    <w:rsid w:val="006927CC"/>
    <w:rsid w:val="006B31EA"/>
    <w:rsid w:val="006D2F5A"/>
    <w:rsid w:val="00763127"/>
    <w:rsid w:val="007C3594"/>
    <w:rsid w:val="00864ED7"/>
    <w:rsid w:val="0088124B"/>
    <w:rsid w:val="00886F90"/>
    <w:rsid w:val="008B40B2"/>
    <w:rsid w:val="008C274D"/>
    <w:rsid w:val="008E2687"/>
    <w:rsid w:val="009904C0"/>
    <w:rsid w:val="00990DFB"/>
    <w:rsid w:val="009A767B"/>
    <w:rsid w:val="009A7BE3"/>
    <w:rsid w:val="009D0C48"/>
    <w:rsid w:val="00A17F4D"/>
    <w:rsid w:val="00A613AB"/>
    <w:rsid w:val="00A83C70"/>
    <w:rsid w:val="00AA0A78"/>
    <w:rsid w:val="00AB25FA"/>
    <w:rsid w:val="00AB4AA6"/>
    <w:rsid w:val="00B36659"/>
    <w:rsid w:val="00B72DF1"/>
    <w:rsid w:val="00BF0018"/>
    <w:rsid w:val="00BF619C"/>
    <w:rsid w:val="00C066D9"/>
    <w:rsid w:val="00C240BF"/>
    <w:rsid w:val="00C426D7"/>
    <w:rsid w:val="00C60BA7"/>
    <w:rsid w:val="00C65744"/>
    <w:rsid w:val="00C85567"/>
    <w:rsid w:val="00C90ED3"/>
    <w:rsid w:val="00CC1B71"/>
    <w:rsid w:val="00CC6947"/>
    <w:rsid w:val="00CD198C"/>
    <w:rsid w:val="00D32130"/>
    <w:rsid w:val="00D412B8"/>
    <w:rsid w:val="00D42AEC"/>
    <w:rsid w:val="00D632DC"/>
    <w:rsid w:val="00D71D55"/>
    <w:rsid w:val="00D81FC8"/>
    <w:rsid w:val="00E226E1"/>
    <w:rsid w:val="00EB310C"/>
    <w:rsid w:val="00EF693B"/>
    <w:rsid w:val="00F1235A"/>
    <w:rsid w:val="00F12819"/>
    <w:rsid w:val="00F20616"/>
    <w:rsid w:val="00F419DD"/>
    <w:rsid w:val="00FB326D"/>
    <w:rsid w:val="00FD4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unhideWhenUsed/>
    <w:rsid w:val="003A482F"/>
    <w:rPr>
      <w:sz w:val="20"/>
      <w:szCs w:val="20"/>
    </w:rPr>
  </w:style>
  <w:style w:type="character" w:customStyle="1" w:styleId="FootnoteTextChar">
    <w:name w:val="Footnote Text Char"/>
    <w:basedOn w:val="DefaultParagraphFont"/>
    <w:link w:val="FootnoteText"/>
    <w:uiPriority w:val="99"/>
    <w:rsid w:val="003A482F"/>
    <w:rPr>
      <w:sz w:val="20"/>
      <w:szCs w:val="20"/>
    </w:rPr>
  </w:style>
  <w:style w:type="character" w:styleId="FootnoteReference">
    <w:name w:val="footnote reference"/>
    <w:basedOn w:val="DefaultParagraphFont"/>
    <w:uiPriority w:val="99"/>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0DFB"/>
    <w:rPr>
      <w:rFonts w:ascii="Tahoma" w:hAnsi="Tahoma" w:cs="Tahoma"/>
      <w:sz w:val="16"/>
      <w:szCs w:val="16"/>
    </w:rPr>
  </w:style>
  <w:style w:type="character" w:customStyle="1" w:styleId="BalloonTextChar">
    <w:name w:val="Balloon Text Char"/>
    <w:basedOn w:val="DefaultParagraphFont"/>
    <w:link w:val="BalloonText"/>
    <w:uiPriority w:val="99"/>
    <w:semiHidden/>
    <w:rsid w:val="00990DFB"/>
    <w:rPr>
      <w:rFonts w:ascii="Tahoma" w:hAnsi="Tahoma" w:cs="Tahoma"/>
      <w:sz w:val="16"/>
      <w:szCs w:val="16"/>
    </w:rPr>
  </w:style>
  <w:style w:type="paragraph" w:styleId="FootnoteText">
    <w:name w:val="footnote text"/>
    <w:basedOn w:val="Normal"/>
    <w:link w:val="FootnoteTextChar"/>
    <w:uiPriority w:val="99"/>
    <w:unhideWhenUsed/>
    <w:rsid w:val="003A482F"/>
    <w:rPr>
      <w:sz w:val="20"/>
      <w:szCs w:val="20"/>
    </w:rPr>
  </w:style>
  <w:style w:type="character" w:customStyle="1" w:styleId="FootnoteTextChar">
    <w:name w:val="Footnote Text Char"/>
    <w:basedOn w:val="DefaultParagraphFont"/>
    <w:link w:val="FootnoteText"/>
    <w:uiPriority w:val="99"/>
    <w:rsid w:val="003A482F"/>
    <w:rPr>
      <w:sz w:val="20"/>
      <w:szCs w:val="20"/>
    </w:rPr>
  </w:style>
  <w:style w:type="character" w:styleId="FootnoteReference">
    <w:name w:val="footnote reference"/>
    <w:basedOn w:val="DefaultParagraphFont"/>
    <w:uiPriority w:val="99"/>
    <w:unhideWhenUsed/>
    <w:rsid w:val="003A482F"/>
    <w:rPr>
      <w:vertAlign w:val="superscript"/>
    </w:rPr>
  </w:style>
  <w:style w:type="character" w:styleId="Hyperlink">
    <w:name w:val="Hyperlink"/>
    <w:basedOn w:val="DefaultParagraphFont"/>
    <w:uiPriority w:val="99"/>
    <w:unhideWhenUsed/>
    <w:rsid w:val="009D0C48"/>
    <w:rPr>
      <w:color w:val="0000FF"/>
      <w:u w:val="single"/>
    </w:rPr>
  </w:style>
  <w:style w:type="paragraph" w:styleId="Header">
    <w:name w:val="header"/>
    <w:basedOn w:val="Normal"/>
    <w:link w:val="HeaderChar"/>
    <w:uiPriority w:val="99"/>
    <w:unhideWhenUsed/>
    <w:rsid w:val="00F419DD"/>
    <w:pPr>
      <w:tabs>
        <w:tab w:val="center" w:pos="4680"/>
        <w:tab w:val="right" w:pos="9360"/>
      </w:tabs>
    </w:pPr>
  </w:style>
  <w:style w:type="character" w:customStyle="1" w:styleId="HeaderChar">
    <w:name w:val="Header Char"/>
    <w:basedOn w:val="DefaultParagraphFont"/>
    <w:link w:val="Header"/>
    <w:uiPriority w:val="99"/>
    <w:rsid w:val="00F419DD"/>
  </w:style>
  <w:style w:type="paragraph" w:styleId="Footer">
    <w:name w:val="footer"/>
    <w:basedOn w:val="Normal"/>
    <w:link w:val="FooterChar"/>
    <w:uiPriority w:val="99"/>
    <w:unhideWhenUsed/>
    <w:rsid w:val="00F419DD"/>
    <w:pPr>
      <w:tabs>
        <w:tab w:val="center" w:pos="4680"/>
        <w:tab w:val="right" w:pos="9360"/>
      </w:tabs>
    </w:pPr>
  </w:style>
  <w:style w:type="character" w:customStyle="1" w:styleId="FooterChar">
    <w:name w:val="Footer Char"/>
    <w:basedOn w:val="DefaultParagraphFont"/>
    <w:link w:val="Footer"/>
    <w:uiPriority w:val="99"/>
    <w:rsid w:val="00F419DD"/>
  </w:style>
  <w:style w:type="paragraph" w:styleId="ListParagraph">
    <w:name w:val="List Paragraph"/>
    <w:basedOn w:val="Normal"/>
    <w:uiPriority w:val="34"/>
    <w:qFormat/>
    <w:rsid w:val="001279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7472">
      <w:bodyDiv w:val="1"/>
      <w:marLeft w:val="0"/>
      <w:marRight w:val="0"/>
      <w:marTop w:val="0"/>
      <w:marBottom w:val="0"/>
      <w:divBdr>
        <w:top w:val="none" w:sz="0" w:space="0" w:color="auto"/>
        <w:left w:val="none" w:sz="0" w:space="0" w:color="auto"/>
        <w:bottom w:val="none" w:sz="0" w:space="0" w:color="auto"/>
        <w:right w:val="none" w:sz="0" w:space="0" w:color="auto"/>
      </w:divBdr>
    </w:div>
    <w:div w:id="72418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B8C7B-C315-4F59-ADF9-4C8DFD54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997</Words>
  <Characters>5685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Feltus</dc:creator>
  <cp:lastModifiedBy>Ben Angle</cp:lastModifiedBy>
  <cp:revision>3</cp:revision>
  <cp:lastPrinted>2018-02-02T16:49:00Z</cp:lastPrinted>
  <dcterms:created xsi:type="dcterms:W3CDTF">2018-02-16T20:58:00Z</dcterms:created>
  <dcterms:modified xsi:type="dcterms:W3CDTF">2018-02-16T21:11:00Z</dcterms:modified>
</cp:coreProperties>
</file>